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黑体" w:eastAsia="黑体"/>
          <w:sz w:val="44"/>
          <w:szCs w:val="44"/>
        </w:rPr>
      </w:pPr>
      <w:r>
        <w:rPr>
          <w:rFonts w:hint="eastAsia" w:ascii="黑体" w:eastAsia="黑体"/>
          <w:sz w:val="44"/>
          <w:szCs w:val="44"/>
          <w:lang w:eastAsia="zh-CN"/>
        </w:rPr>
        <w:t>叉车年度</w:t>
      </w:r>
      <w:r>
        <w:rPr>
          <w:rFonts w:hint="eastAsia" w:ascii="黑体" w:eastAsia="黑体"/>
          <w:sz w:val="44"/>
          <w:szCs w:val="44"/>
        </w:rPr>
        <w:t>自检报告</w:t>
      </w: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spacing w:line="480" w:lineRule="auto"/>
        <w:rPr>
          <w:rFonts w:hint="eastAsia" w:ascii="黑体" w:eastAsia="黑体"/>
        </w:rPr>
      </w:pPr>
    </w:p>
    <w:p>
      <w:pPr>
        <w:spacing w:line="720" w:lineRule="auto"/>
        <w:ind w:firstLine="1405" w:firstLineChars="500"/>
        <w:rPr>
          <w:rFonts w:hint="eastAsia" w:ascii="仿宋_GB2312" w:hAnsi="宋体" w:eastAsia="仿宋_GB2312" w:cs="宋体"/>
          <w:b/>
          <w:kern w:val="0"/>
          <w:sz w:val="28"/>
          <w:szCs w:val="28"/>
          <w:u w:val="single"/>
        </w:rPr>
      </w:pPr>
      <w:r>
        <w:rPr>
          <w:rFonts w:hint="eastAsia" w:ascii="仿宋_GB2312" w:hAnsi="宋体" w:eastAsia="仿宋_GB2312" w:cs="宋体"/>
          <w:b/>
          <w:kern w:val="0"/>
          <w:sz w:val="28"/>
          <w:szCs w:val="28"/>
          <w:lang w:eastAsia="zh-CN"/>
        </w:rPr>
        <w:t>叉车</w:t>
      </w:r>
      <w:r>
        <w:rPr>
          <w:rFonts w:hint="eastAsia" w:ascii="仿宋_GB2312" w:hAnsi="宋体" w:eastAsia="仿宋_GB2312" w:cs="宋体"/>
          <w:b/>
          <w:kern w:val="0"/>
          <w:sz w:val="28"/>
          <w:szCs w:val="28"/>
        </w:rPr>
        <w:t>注册代码</w:t>
      </w:r>
      <w:r>
        <w:rPr>
          <w:rFonts w:hint="eastAsia" w:ascii="仿宋_GB2312" w:hAnsi="宋体" w:eastAsia="仿宋_GB2312" w:cs="宋体"/>
          <w:b/>
          <w:kern w:val="0"/>
          <w:sz w:val="28"/>
          <w:szCs w:val="28"/>
          <w:u w:val="single"/>
        </w:rPr>
        <w:t xml:space="preserve">                            </w:t>
      </w:r>
    </w:p>
    <w:p>
      <w:pPr>
        <w:spacing w:line="720" w:lineRule="auto"/>
        <w:ind w:firstLine="1405" w:firstLineChars="500"/>
        <w:rPr>
          <w:rFonts w:hint="eastAsia" w:ascii="仿宋_GB2312" w:hAnsi="宋体" w:eastAsia="仿宋_GB2312" w:cs="宋体"/>
          <w:b/>
          <w:kern w:val="0"/>
          <w:sz w:val="28"/>
          <w:szCs w:val="28"/>
          <w:u w:val="single"/>
        </w:rPr>
      </w:pPr>
      <w:r>
        <w:rPr>
          <w:rFonts w:hint="eastAsia" w:ascii="仿宋_GB2312" w:hAnsi="宋体" w:eastAsia="仿宋_GB2312" w:cs="宋体"/>
          <w:b/>
          <w:kern w:val="0"/>
          <w:sz w:val="28"/>
          <w:szCs w:val="28"/>
          <w:lang w:eastAsia="zh-CN"/>
        </w:rPr>
        <w:t>叉车</w:t>
      </w:r>
      <w:r>
        <w:rPr>
          <w:rFonts w:hint="eastAsia" w:ascii="仿宋_GB2312" w:hAnsi="宋体" w:eastAsia="仿宋_GB2312" w:cs="宋体"/>
          <w:b/>
          <w:kern w:val="0"/>
          <w:sz w:val="28"/>
          <w:szCs w:val="28"/>
          <w:lang w:val="en-US" w:eastAsia="zh-CN"/>
        </w:rPr>
        <w:t>设备</w:t>
      </w:r>
      <w:r>
        <w:rPr>
          <w:rFonts w:hint="eastAsia" w:ascii="仿宋_GB2312" w:hAnsi="宋体" w:eastAsia="仿宋_GB2312" w:cs="宋体"/>
          <w:b/>
          <w:kern w:val="0"/>
          <w:sz w:val="28"/>
          <w:szCs w:val="28"/>
        </w:rPr>
        <w:t>代码</w:t>
      </w:r>
      <w:r>
        <w:rPr>
          <w:rFonts w:hint="eastAsia" w:ascii="仿宋_GB2312" w:hAnsi="宋体" w:eastAsia="仿宋_GB2312" w:cs="宋体"/>
          <w:b/>
          <w:kern w:val="0"/>
          <w:sz w:val="28"/>
          <w:szCs w:val="28"/>
          <w:u w:val="single"/>
        </w:rPr>
        <w:t xml:space="preserve">                            </w:t>
      </w:r>
    </w:p>
    <w:p>
      <w:pPr>
        <w:spacing w:line="720" w:lineRule="auto"/>
        <w:ind w:firstLine="1405" w:firstLineChars="500"/>
        <w:rPr>
          <w:rFonts w:hint="eastAsia" w:ascii="仿宋_GB2312" w:eastAsia="仿宋_GB2312"/>
          <w:b/>
          <w:sz w:val="28"/>
          <w:szCs w:val="28"/>
        </w:rPr>
      </w:pPr>
      <w:r>
        <w:rPr>
          <w:rFonts w:hint="eastAsia" w:ascii="仿宋_GB2312" w:hAnsi="宋体" w:eastAsia="仿宋_GB2312" w:cs="宋体"/>
          <w:b/>
          <w:kern w:val="0"/>
          <w:sz w:val="28"/>
          <w:szCs w:val="28"/>
        </w:rPr>
        <w:t>使用单位名称</w:t>
      </w:r>
      <w:r>
        <w:rPr>
          <w:rFonts w:hint="eastAsia" w:ascii="仿宋_GB2312" w:hAnsi="宋体" w:eastAsia="仿宋_GB2312" w:cs="宋体"/>
          <w:b/>
          <w:kern w:val="0"/>
          <w:sz w:val="28"/>
          <w:szCs w:val="28"/>
          <w:u w:val="single"/>
        </w:rPr>
        <w:t xml:space="preserve">                            </w:t>
      </w:r>
    </w:p>
    <w:p>
      <w:pPr>
        <w:spacing w:line="720" w:lineRule="auto"/>
        <w:ind w:firstLine="1405" w:firstLineChars="500"/>
        <w:rPr>
          <w:rFonts w:hint="eastAsia" w:ascii="仿宋_GB2312" w:eastAsia="仿宋_GB2312"/>
          <w:b/>
          <w:sz w:val="28"/>
          <w:szCs w:val="28"/>
        </w:rPr>
      </w:pPr>
      <w:r>
        <w:rPr>
          <w:rFonts w:hint="eastAsia" w:ascii="仿宋_GB2312" w:hAnsi="宋体" w:eastAsia="仿宋_GB2312" w:cs="宋体"/>
          <w:b/>
          <w:kern w:val="0"/>
          <w:sz w:val="28"/>
          <w:szCs w:val="28"/>
          <w:lang w:eastAsia="zh-CN"/>
        </w:rPr>
        <w:t>叉车</w:t>
      </w:r>
      <w:r>
        <w:rPr>
          <w:rFonts w:hint="eastAsia" w:ascii="仿宋_GB2312" w:hAnsi="宋体" w:eastAsia="仿宋_GB2312" w:cs="宋体"/>
          <w:b/>
          <w:kern w:val="0"/>
          <w:sz w:val="28"/>
          <w:szCs w:val="28"/>
        </w:rPr>
        <w:t>使用地址</w:t>
      </w:r>
      <w:r>
        <w:rPr>
          <w:rFonts w:hint="eastAsia" w:ascii="仿宋_GB2312" w:hAnsi="宋体" w:eastAsia="仿宋_GB2312" w:cs="宋体"/>
          <w:b/>
          <w:kern w:val="0"/>
          <w:sz w:val="28"/>
          <w:szCs w:val="28"/>
          <w:u w:val="single"/>
        </w:rPr>
        <w:t xml:space="preserve">                            </w:t>
      </w:r>
    </w:p>
    <w:p>
      <w:pPr>
        <w:spacing w:line="720" w:lineRule="auto"/>
        <w:ind w:firstLine="1405" w:firstLineChars="500"/>
        <w:rPr>
          <w:rFonts w:hint="eastAsia" w:ascii="仿宋_GB2312" w:hAnsi="宋体" w:eastAsia="仿宋_GB2312" w:cs="宋体"/>
          <w:b/>
          <w:kern w:val="0"/>
          <w:sz w:val="28"/>
          <w:szCs w:val="28"/>
          <w:u w:val="single"/>
        </w:rPr>
      </w:pPr>
      <w:r>
        <w:rPr>
          <w:rFonts w:hint="eastAsia" w:ascii="仿宋_GB2312" w:hAnsi="宋体" w:eastAsia="仿宋_GB2312"/>
          <w:b/>
          <w:bCs/>
          <w:sz w:val="28"/>
          <w:szCs w:val="28"/>
          <w:lang w:eastAsia="zh-CN"/>
        </w:rPr>
        <w:t>叉车出厂</w:t>
      </w:r>
      <w:r>
        <w:rPr>
          <w:rFonts w:hint="eastAsia" w:ascii="仿宋_GB2312" w:hAnsi="宋体" w:eastAsia="仿宋_GB2312"/>
          <w:b/>
          <w:bCs/>
          <w:sz w:val="28"/>
          <w:szCs w:val="28"/>
        </w:rPr>
        <w:t>编号</w:t>
      </w:r>
      <w:r>
        <w:rPr>
          <w:rFonts w:hint="eastAsia" w:ascii="仿宋_GB2312" w:hAnsi="宋体" w:eastAsia="仿宋_GB2312" w:cs="宋体"/>
          <w:b/>
          <w:kern w:val="0"/>
          <w:sz w:val="28"/>
          <w:szCs w:val="28"/>
          <w:u w:val="single"/>
        </w:rPr>
        <w:t xml:space="preserve">                       </w:t>
      </w:r>
      <w:r>
        <w:rPr>
          <w:rFonts w:hint="eastAsia" w:ascii="仿宋_GB2312" w:hAnsi="宋体" w:eastAsia="仿宋_GB2312" w:cs="宋体"/>
          <w:b/>
          <w:kern w:val="0"/>
          <w:sz w:val="28"/>
          <w:szCs w:val="28"/>
          <w:u w:val="single"/>
          <w:lang w:val="en-US" w:eastAsia="zh-CN"/>
        </w:rPr>
        <w:t xml:space="preserve">    </w:t>
      </w:r>
      <w:r>
        <w:rPr>
          <w:rFonts w:hint="eastAsia" w:ascii="仿宋_GB2312" w:hAnsi="宋体" w:eastAsia="仿宋_GB2312" w:cs="宋体"/>
          <w:b/>
          <w:kern w:val="0"/>
          <w:sz w:val="28"/>
          <w:szCs w:val="28"/>
          <w:u w:val="single"/>
        </w:rPr>
        <w:t xml:space="preserve"> </w:t>
      </w:r>
    </w:p>
    <w:p>
      <w:pPr>
        <w:spacing w:line="720" w:lineRule="auto"/>
        <w:ind w:firstLine="1405" w:firstLineChars="500"/>
        <w:rPr>
          <w:rFonts w:hint="eastAsia" w:ascii="仿宋_GB2312" w:eastAsia="仿宋_GB2312"/>
          <w:sz w:val="28"/>
          <w:szCs w:val="28"/>
          <w:u w:val="single"/>
        </w:rPr>
      </w:pPr>
      <w:r>
        <w:rPr>
          <w:rFonts w:hint="eastAsia" w:ascii="仿宋_GB2312" w:eastAsia="仿宋_GB2312"/>
          <w:b/>
          <w:sz w:val="28"/>
          <w:szCs w:val="28"/>
        </w:rPr>
        <w:t xml:space="preserve">企业自检人员 </w:t>
      </w:r>
      <w:r>
        <w:rPr>
          <w:rFonts w:hint="eastAsia" w:ascii="仿宋_GB2312" w:eastAsia="仿宋_GB2312"/>
          <w:sz w:val="28"/>
          <w:szCs w:val="28"/>
          <w:u w:val="single"/>
        </w:rPr>
        <w:t xml:space="preserve">                           </w:t>
      </w:r>
    </w:p>
    <w:p>
      <w:pPr>
        <w:rPr>
          <w:rFonts w:hint="eastAsia" w:ascii="仿宋_GB2312" w:eastAsia="仿宋_GB2312"/>
          <w:sz w:val="28"/>
          <w:szCs w:val="28"/>
        </w:rPr>
      </w:pPr>
    </w:p>
    <w:p>
      <w:pPr>
        <w:widowControl/>
        <w:ind w:firstLine="6573" w:firstLineChars="3118"/>
        <w:rPr>
          <w:rFonts w:hint="eastAsia" w:ascii="宋体" w:hAnsi="宋体" w:cs="宋体"/>
          <w:b/>
          <w:bCs/>
          <w:kern w:val="0"/>
          <w:szCs w:val="21"/>
        </w:rPr>
      </w:pPr>
    </w:p>
    <w:p>
      <w:pPr>
        <w:spacing w:line="480" w:lineRule="auto"/>
        <w:ind w:firstLine="1120" w:firstLineChars="400"/>
        <w:rPr>
          <w:rFonts w:hint="eastAsia" w:ascii="仿宋_GB2312" w:hAnsi="宋体" w:eastAsia="仿宋_GB2312"/>
          <w:sz w:val="28"/>
          <w:szCs w:val="28"/>
        </w:rPr>
      </w:pPr>
      <w:r>
        <w:rPr>
          <w:rFonts w:hint="eastAsia" w:ascii="仿宋_GB2312" w:hAnsi="宋体" w:eastAsia="仿宋_GB2312"/>
          <w:sz w:val="28"/>
          <w:szCs w:val="28"/>
          <w:lang w:eastAsia="zh-CN"/>
        </w:rPr>
        <w:t>使用</w:t>
      </w:r>
      <w:r>
        <w:rPr>
          <w:rFonts w:hint="eastAsia" w:ascii="仿宋_GB2312" w:hAnsi="宋体" w:eastAsia="仿宋_GB2312"/>
          <w:sz w:val="28"/>
          <w:szCs w:val="28"/>
        </w:rPr>
        <w:t xml:space="preserve">单位（盖章）             </w:t>
      </w:r>
      <w:r>
        <w:rPr>
          <w:rFonts w:hint="eastAsia" w:ascii="仿宋_GB2312" w:hAnsi="宋体" w:eastAsia="仿宋_GB2312"/>
          <w:sz w:val="28"/>
          <w:szCs w:val="28"/>
          <w:lang w:eastAsia="zh-CN"/>
        </w:rPr>
        <w:t>使用单位</w:t>
      </w:r>
      <w:r>
        <w:rPr>
          <w:rFonts w:hint="eastAsia" w:ascii="仿宋_GB2312" w:hAnsi="宋体" w:eastAsia="仿宋_GB2312"/>
          <w:sz w:val="28"/>
          <w:szCs w:val="28"/>
        </w:rPr>
        <w:t xml:space="preserve">负责人（签字）         </w:t>
      </w:r>
    </w:p>
    <w:p>
      <w:pPr>
        <w:spacing w:line="480" w:lineRule="auto"/>
        <w:ind w:firstLine="1120" w:firstLineChars="400"/>
        <w:rPr>
          <w:rFonts w:hint="eastAsia" w:ascii="仿宋_GB2312" w:hAnsi="宋体" w:eastAsia="仿宋_GB2312"/>
          <w:sz w:val="28"/>
          <w:szCs w:val="28"/>
        </w:rPr>
      </w:pPr>
      <w:r>
        <w:rPr>
          <w:rFonts w:hint="eastAsia" w:ascii="仿宋_GB2312" w:hAnsi="宋体" w:eastAsia="仿宋_GB2312"/>
          <w:sz w:val="28"/>
          <w:szCs w:val="28"/>
        </w:rPr>
        <w:t xml:space="preserve">   年   月   日                   年    月    日  </w:t>
      </w:r>
    </w:p>
    <w:p>
      <w:pPr>
        <w:spacing w:before="312" w:beforeLines="100"/>
        <w:ind w:firstLine="2380" w:firstLineChars="850"/>
        <w:rPr>
          <w:rFonts w:hint="eastAsia" w:ascii="仿宋_GB2312" w:hAnsi="宋体" w:eastAsia="仿宋_GB2312"/>
          <w:sz w:val="28"/>
          <w:szCs w:val="28"/>
        </w:rPr>
      </w:pPr>
      <w:r>
        <w:rPr>
          <w:rFonts w:hint="eastAsia" w:ascii="仿宋_GB2312" w:hAnsi="宋体" w:eastAsia="仿宋_GB2312"/>
          <w:sz w:val="28"/>
          <w:szCs w:val="28"/>
        </w:rPr>
        <w:t xml:space="preserve">  </w:t>
      </w:r>
    </w:p>
    <w:p>
      <w:pPr>
        <w:jc w:val="center"/>
        <w:rPr>
          <w:rFonts w:hint="eastAsia" w:eastAsia="黑体"/>
          <w:b/>
          <w:bCs/>
          <w:sz w:val="28"/>
          <w:szCs w:val="28"/>
        </w:rPr>
      </w:pPr>
      <w:r>
        <w:rPr>
          <w:rFonts w:ascii="宋体" w:hAnsi="宋体"/>
          <w:b/>
          <w:bCs/>
          <w:sz w:val="32"/>
          <w:szCs w:val="32"/>
        </w:rPr>
        <w:br w:type="page"/>
      </w:r>
      <w:r>
        <w:rPr>
          <w:rFonts w:hint="eastAsia" w:eastAsia="黑体"/>
          <w:b/>
          <w:bCs/>
          <w:sz w:val="28"/>
          <w:szCs w:val="28"/>
        </w:rPr>
        <w:t>填写说明</w:t>
      </w:r>
    </w:p>
    <w:p>
      <w:pPr>
        <w:snapToGrid w:val="0"/>
        <w:spacing w:before="156" w:beforeLines="50" w:line="360" w:lineRule="auto"/>
        <w:rPr>
          <w:rFonts w:hint="eastAsia" w:ascii="宋体" w:hAnsi="宋体"/>
          <w:color w:val="FF0000"/>
          <w:sz w:val="21"/>
          <w:szCs w:val="21"/>
        </w:rPr>
      </w:pPr>
      <w:r>
        <w:rPr>
          <w:rFonts w:hint="eastAsia" w:ascii="宋体" w:hAnsi="宋体"/>
          <w:sz w:val="21"/>
          <w:szCs w:val="21"/>
        </w:rPr>
        <w:t>1、自检结果栏统一规定为：</w:t>
      </w:r>
      <w:r>
        <w:rPr>
          <w:rFonts w:hint="eastAsia" w:ascii="宋体" w:hAnsi="宋体"/>
          <w:sz w:val="21"/>
          <w:szCs w:val="21"/>
          <w:lang w:val="en-US" w:eastAsia="zh-CN"/>
        </w:rPr>
        <w:t>自检结果栏中，</w:t>
      </w:r>
      <w:r>
        <w:rPr>
          <w:rFonts w:hint="eastAsia" w:ascii="宋体" w:hAnsi="宋体"/>
          <w:sz w:val="21"/>
          <w:szCs w:val="21"/>
        </w:rPr>
        <w:t>合格项填写“</w:t>
      </w:r>
      <w:r>
        <w:rPr>
          <w:rFonts w:ascii="宋体" w:hAnsi="宋体"/>
          <w:sz w:val="21"/>
          <w:szCs w:val="21"/>
        </w:rPr>
        <w:t>√</w:t>
      </w:r>
      <w:r>
        <w:rPr>
          <w:rFonts w:hint="eastAsia" w:ascii="宋体" w:hAnsi="宋体"/>
          <w:sz w:val="21"/>
          <w:szCs w:val="21"/>
        </w:rPr>
        <w:t>”、不合格项填写“×”、无此项填“/”。</w:t>
      </w:r>
      <w:r>
        <w:rPr>
          <w:rFonts w:hint="eastAsia" w:ascii="宋体" w:hAnsi="宋体"/>
          <w:color w:val="auto"/>
          <w:sz w:val="21"/>
          <w:szCs w:val="21"/>
        </w:rPr>
        <w:t>自检结论栏根据相应自检结果填写“合格”、“不合格”，每个自检结论栏只填写唯一的结论。</w:t>
      </w:r>
    </w:p>
    <w:p>
      <w:pPr>
        <w:snapToGrid w:val="0"/>
        <w:spacing w:before="156" w:beforeLines="50" w:line="360" w:lineRule="auto"/>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、有测试数据的项目应填写实测数据，有需要说明的项目，可用简单文字说明。</w:t>
      </w:r>
    </w:p>
    <w:p>
      <w:pPr>
        <w:snapToGrid w:val="0"/>
        <w:spacing w:before="156" w:beforeLines="50" w:line="360" w:lineRule="auto"/>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、所有项目的自检结</w:t>
      </w:r>
      <w:r>
        <w:rPr>
          <w:rFonts w:hint="eastAsia" w:ascii="宋体" w:hAnsi="宋体"/>
          <w:color w:val="auto"/>
          <w:sz w:val="21"/>
          <w:szCs w:val="21"/>
        </w:rPr>
        <w:t>果、自检结论</w:t>
      </w:r>
      <w:r>
        <w:rPr>
          <w:rFonts w:hint="eastAsia" w:ascii="宋体" w:hAnsi="宋体"/>
          <w:sz w:val="21"/>
          <w:szCs w:val="21"/>
        </w:rPr>
        <w:t>及表格中的数据应根据</w:t>
      </w:r>
      <w:r>
        <w:rPr>
          <w:rFonts w:hint="eastAsia" w:ascii="宋体" w:hAnsi="宋体"/>
          <w:sz w:val="21"/>
          <w:szCs w:val="21"/>
          <w:lang w:val="en-US" w:eastAsia="zh-CN"/>
        </w:rPr>
        <w:t>叉车</w:t>
      </w:r>
      <w:r>
        <w:rPr>
          <w:rFonts w:hint="eastAsia" w:ascii="宋体" w:hAnsi="宋体"/>
          <w:sz w:val="21"/>
          <w:szCs w:val="21"/>
        </w:rPr>
        <w:t>的实际情况填写，不应有空项，对于不适用的项目填写“/”。</w:t>
      </w:r>
    </w:p>
    <w:p>
      <w:pPr>
        <w:snapToGrid w:val="0"/>
        <w:spacing w:before="156" w:beforeLines="50" w:line="360" w:lineRule="auto"/>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、本报告书如果填写有误，应画双斜线进行杠改，在旁边写上更改后数据，更改后应签上自检人员姓名及更改日期。错误之处不得使用涂改液、涂改带或其它方式进行更改。</w:t>
      </w:r>
    </w:p>
    <w:p>
      <w:pPr>
        <w:snapToGrid w:val="0"/>
        <w:spacing w:line="384" w:lineRule="auto"/>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、本报告书应采用签字笔或蓝、黑墨水笔手工填写，不得采用复印或其它方式替代填写。</w:t>
      </w:r>
    </w:p>
    <w:p>
      <w:pPr>
        <w:snapToGrid w:val="0"/>
        <w:spacing w:line="384" w:lineRule="auto"/>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、自检过程中如有不合格项目，应在</w:t>
      </w:r>
      <w:r>
        <w:rPr>
          <w:rFonts w:hint="eastAsia" w:ascii="宋体" w:hAnsi="宋体"/>
          <w:sz w:val="21"/>
          <w:szCs w:val="21"/>
          <w:lang w:val="en-US" w:eastAsia="zh-CN"/>
        </w:rPr>
        <w:t>对不合格项目整改</w:t>
      </w:r>
      <w:r>
        <w:rPr>
          <w:rFonts w:hint="eastAsia" w:ascii="宋体" w:hAnsi="宋体"/>
          <w:sz w:val="21"/>
          <w:szCs w:val="21"/>
        </w:rPr>
        <w:t>完成</w:t>
      </w:r>
      <w:r>
        <w:rPr>
          <w:rFonts w:hint="eastAsia" w:ascii="宋体" w:hAnsi="宋体"/>
          <w:sz w:val="21"/>
          <w:szCs w:val="21"/>
          <w:lang w:val="en-US" w:eastAsia="zh-CN"/>
        </w:rPr>
        <w:t>后重新进行自检</w:t>
      </w:r>
      <w:r>
        <w:rPr>
          <w:rFonts w:hint="eastAsia" w:ascii="宋体" w:hAnsi="宋体"/>
          <w:sz w:val="21"/>
          <w:szCs w:val="21"/>
        </w:rPr>
        <w:t>。</w:t>
      </w:r>
    </w:p>
    <w:p>
      <w:pPr>
        <w:snapToGrid w:val="0"/>
        <w:spacing w:line="384" w:lineRule="auto"/>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使用</w:t>
      </w:r>
      <w:r>
        <w:rPr>
          <w:rFonts w:hint="eastAsia" w:ascii="宋体" w:hAnsi="宋体"/>
          <w:sz w:val="21"/>
          <w:szCs w:val="21"/>
        </w:rPr>
        <w:t>单位对本报告书的真实性和结论负责。在本报告书上签字的</w:t>
      </w:r>
      <w:r>
        <w:rPr>
          <w:rFonts w:hint="eastAsia" w:ascii="宋体" w:hAnsi="宋体"/>
          <w:sz w:val="21"/>
          <w:szCs w:val="21"/>
          <w:lang w:val="en-US" w:eastAsia="zh-CN"/>
        </w:rPr>
        <w:t>自</w:t>
      </w:r>
      <w:r>
        <w:rPr>
          <w:rFonts w:hint="eastAsia" w:ascii="宋体" w:hAnsi="宋体"/>
          <w:sz w:val="21"/>
          <w:szCs w:val="21"/>
        </w:rPr>
        <w:t>检</w:t>
      </w:r>
      <w:r>
        <w:rPr>
          <w:rFonts w:hint="eastAsia" w:ascii="宋体" w:hAnsi="宋体"/>
          <w:sz w:val="21"/>
          <w:szCs w:val="21"/>
          <w:lang w:val="en-US" w:eastAsia="zh-CN"/>
        </w:rPr>
        <w:t>人</w:t>
      </w:r>
      <w:r>
        <w:rPr>
          <w:rFonts w:hint="eastAsia" w:ascii="宋体" w:hAnsi="宋体"/>
          <w:sz w:val="21"/>
          <w:szCs w:val="21"/>
        </w:rPr>
        <w:t>员</w:t>
      </w:r>
      <w:r>
        <w:rPr>
          <w:rFonts w:hint="eastAsia" w:ascii="宋体" w:hAnsi="宋体"/>
          <w:sz w:val="21"/>
          <w:szCs w:val="21"/>
          <w:lang w:val="en-US" w:eastAsia="zh-CN"/>
        </w:rPr>
        <w:t>或安全管理</w:t>
      </w:r>
      <w:r>
        <w:rPr>
          <w:rFonts w:hint="eastAsia" w:ascii="宋体" w:hAnsi="宋体"/>
          <w:sz w:val="21"/>
          <w:szCs w:val="21"/>
        </w:rPr>
        <w:t>人员应持证上岗。</w:t>
      </w:r>
    </w:p>
    <w:p>
      <w:pPr>
        <w:snapToGrid w:val="0"/>
        <w:spacing w:line="384" w:lineRule="auto"/>
        <w:rPr>
          <w:rFonts w:hint="eastAsia" w:ascii="宋体" w:hAnsi="宋体"/>
          <w:sz w:val="24"/>
        </w:rPr>
      </w:pPr>
      <w:r>
        <w:rPr>
          <w:rFonts w:hint="eastAsia" w:ascii="宋体" w:hAnsi="宋体"/>
          <w:sz w:val="21"/>
          <w:szCs w:val="21"/>
          <w:lang w:val="en-US" w:eastAsia="zh-CN"/>
        </w:rPr>
        <w:t>8</w:t>
      </w:r>
      <w:r>
        <w:rPr>
          <w:rFonts w:hint="eastAsia" w:ascii="宋体" w:hAnsi="宋体"/>
          <w:sz w:val="21"/>
          <w:szCs w:val="21"/>
        </w:rPr>
        <w:t>、本报告书原件交</w:t>
      </w:r>
      <w:r>
        <w:rPr>
          <w:rFonts w:hint="eastAsia" w:ascii="宋体" w:hAnsi="宋体"/>
          <w:sz w:val="21"/>
          <w:szCs w:val="21"/>
          <w:lang w:val="en-US" w:eastAsia="zh-CN"/>
        </w:rPr>
        <w:t>检验机构</w:t>
      </w:r>
      <w:r>
        <w:rPr>
          <w:rFonts w:hint="eastAsia" w:ascii="宋体" w:hAnsi="宋体"/>
          <w:sz w:val="21"/>
          <w:szCs w:val="21"/>
        </w:rPr>
        <w:t>存档。</w:t>
      </w:r>
    </w:p>
    <w:p>
      <w:pPr>
        <w:adjustRightInd w:val="0"/>
        <w:snapToGrid w:val="0"/>
        <w:spacing w:before="156" w:beforeLines="50" w:line="360" w:lineRule="auto"/>
        <w:jc w:val="both"/>
        <w:rPr>
          <w:rFonts w:hint="eastAsia" w:ascii="宋体" w:hAnsi="宋体" w:cs="宋体"/>
          <w:b/>
          <w:bCs/>
          <w:sz w:val="28"/>
          <w:szCs w:val="28"/>
        </w:rPr>
        <w:sectPr>
          <w:footerReference r:id="rId4" w:type="default"/>
          <w:pgSz w:w="11906" w:h="16838"/>
          <w:pgMar w:top="1440" w:right="849" w:bottom="993" w:left="993" w:header="851" w:footer="413" w:gutter="0"/>
          <w:cols w:space="720" w:num="1"/>
          <w:docGrid w:type="lines" w:linePitch="312" w:charSpace="0"/>
        </w:sectPr>
      </w:pPr>
    </w:p>
    <w:p>
      <w:pPr>
        <w:adjustRightInd w:val="0"/>
        <w:snapToGrid w:val="0"/>
        <w:spacing w:before="156" w:beforeLines="50" w:line="360" w:lineRule="auto"/>
        <w:jc w:val="center"/>
        <w:rPr>
          <w:rFonts w:hint="eastAsia" w:ascii="宋体" w:hAnsi="宋体" w:cs="宋体"/>
          <w:szCs w:val="21"/>
        </w:rPr>
      </w:pPr>
      <w:r>
        <w:rPr>
          <w:rFonts w:hint="eastAsia" w:ascii="宋体" w:hAnsi="宋体" w:cs="宋体"/>
          <w:b/>
          <w:bCs/>
          <w:sz w:val="28"/>
          <w:szCs w:val="28"/>
        </w:rPr>
        <w:t>叉车年度自检</w:t>
      </w:r>
      <w:r>
        <w:rPr>
          <w:rFonts w:hint="eastAsia" w:ascii="宋体" w:hAnsi="宋体" w:cs="宋体"/>
          <w:b/>
          <w:bCs/>
          <w:sz w:val="28"/>
          <w:szCs w:val="28"/>
          <w:lang w:eastAsia="zh-CN"/>
        </w:rPr>
        <w:t>报告</w:t>
      </w:r>
    </w:p>
    <w:tbl>
      <w:tblPr>
        <w:tblStyle w:val="13"/>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912"/>
        <w:gridCol w:w="3543"/>
        <w:gridCol w:w="7"/>
        <w:gridCol w:w="417"/>
        <w:gridCol w:w="1136"/>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adjustRightInd w:val="0"/>
              <w:snapToGrid w:val="0"/>
              <w:jc w:val="center"/>
              <w:rPr>
                <w:rFonts w:hint="eastAsia"/>
              </w:rPr>
            </w:pPr>
            <w:r>
              <w:rPr>
                <w:rFonts w:hint="eastAsia"/>
              </w:rPr>
              <w:t>使用单位名称</w:t>
            </w:r>
          </w:p>
        </w:tc>
        <w:tc>
          <w:tcPr>
            <w:tcW w:w="7721" w:type="dxa"/>
            <w:gridSpan w:val="5"/>
            <w:vAlign w:val="center"/>
          </w:tcPr>
          <w:p>
            <w:pPr>
              <w:adjustRightInd w:val="0"/>
              <w:snapToGrid w:val="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adjustRightInd w:val="0"/>
              <w:snapToGrid w:val="0"/>
              <w:jc w:val="center"/>
              <w:rPr>
                <w:rFonts w:hint="eastAsia"/>
              </w:rPr>
            </w:pPr>
            <w:r>
              <w:rPr>
                <w:rFonts w:hint="eastAsia"/>
              </w:rPr>
              <w:t>使用单位地址</w:t>
            </w:r>
          </w:p>
        </w:tc>
        <w:tc>
          <w:tcPr>
            <w:tcW w:w="7721" w:type="dxa"/>
            <w:gridSpan w:val="5"/>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adjustRightInd w:val="0"/>
              <w:snapToGrid w:val="0"/>
              <w:jc w:val="center"/>
              <w:rPr>
                <w:rFonts w:hint="eastAsia"/>
              </w:rPr>
            </w:pPr>
            <w:r>
              <w:rPr>
                <w:rFonts w:hint="eastAsia"/>
              </w:rPr>
              <w:t>联系人</w:t>
            </w:r>
          </w:p>
        </w:tc>
        <w:tc>
          <w:tcPr>
            <w:tcW w:w="3543" w:type="dxa"/>
            <w:vAlign w:val="center"/>
          </w:tcPr>
          <w:p>
            <w:pPr>
              <w:adjustRightInd w:val="0"/>
              <w:snapToGrid w:val="0"/>
              <w:jc w:val="center"/>
            </w:pPr>
          </w:p>
        </w:tc>
        <w:tc>
          <w:tcPr>
            <w:tcW w:w="1560" w:type="dxa"/>
            <w:gridSpan w:val="3"/>
            <w:vAlign w:val="center"/>
          </w:tcPr>
          <w:p>
            <w:pPr>
              <w:adjustRightInd w:val="0"/>
              <w:snapToGrid w:val="0"/>
              <w:jc w:val="center"/>
            </w:pPr>
            <w:r>
              <w:rPr>
                <w:rFonts w:hint="eastAsia"/>
              </w:rPr>
              <w:t>联系电话</w:t>
            </w:r>
          </w:p>
        </w:tc>
        <w:tc>
          <w:tcPr>
            <w:tcW w:w="2618" w:type="dxa"/>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adjustRightInd w:val="0"/>
              <w:snapToGrid w:val="0"/>
              <w:jc w:val="center"/>
              <w:rPr>
                <w:rFonts w:hint="eastAsia"/>
              </w:rPr>
            </w:pPr>
            <w:r>
              <w:rPr>
                <w:rFonts w:hint="eastAsia"/>
              </w:rPr>
              <w:t>统一社会信用代码</w:t>
            </w:r>
          </w:p>
        </w:tc>
        <w:tc>
          <w:tcPr>
            <w:tcW w:w="3543" w:type="dxa"/>
            <w:vAlign w:val="center"/>
          </w:tcPr>
          <w:p>
            <w:pPr>
              <w:adjustRightInd w:val="0"/>
              <w:snapToGrid w:val="0"/>
              <w:jc w:val="center"/>
            </w:pPr>
          </w:p>
        </w:tc>
        <w:tc>
          <w:tcPr>
            <w:tcW w:w="1560" w:type="dxa"/>
            <w:gridSpan w:val="3"/>
            <w:vAlign w:val="center"/>
          </w:tcPr>
          <w:p>
            <w:pPr>
              <w:adjustRightInd w:val="0"/>
              <w:snapToGrid w:val="0"/>
              <w:jc w:val="center"/>
              <w:rPr>
                <w:rFonts w:hint="eastAsia"/>
              </w:rPr>
            </w:pPr>
            <w:r>
              <w:rPr>
                <w:rFonts w:hint="eastAsia"/>
              </w:rPr>
              <w:t>使用登记证编号</w:t>
            </w:r>
          </w:p>
        </w:tc>
        <w:tc>
          <w:tcPr>
            <w:tcW w:w="2618" w:type="dxa"/>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pStyle w:val="22"/>
              <w:adjustRightInd w:val="0"/>
              <w:snapToGrid w:val="0"/>
              <w:spacing w:line="240" w:lineRule="auto"/>
              <w:ind w:left="0" w:firstLine="0"/>
              <w:jc w:val="center"/>
              <w:rPr>
                <w:rFonts w:hint="eastAsia"/>
              </w:rPr>
            </w:pPr>
            <w:r>
              <w:rPr>
                <w:rFonts w:hint="eastAsia"/>
              </w:rPr>
              <w:t>制造单位名称</w:t>
            </w:r>
          </w:p>
        </w:tc>
        <w:tc>
          <w:tcPr>
            <w:tcW w:w="7721" w:type="dxa"/>
            <w:gridSpan w:val="5"/>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pStyle w:val="22"/>
              <w:adjustRightInd w:val="0"/>
              <w:snapToGrid w:val="0"/>
              <w:spacing w:line="240" w:lineRule="auto"/>
              <w:ind w:left="0" w:firstLine="0"/>
              <w:jc w:val="center"/>
              <w:rPr>
                <w:rFonts w:hint="eastAsia"/>
              </w:rPr>
            </w:pPr>
            <w:r>
              <w:rPr>
                <w:rFonts w:hint="eastAsia"/>
              </w:rPr>
              <w:t>改造单位名称</w:t>
            </w:r>
          </w:p>
        </w:tc>
        <w:tc>
          <w:tcPr>
            <w:tcW w:w="7721" w:type="dxa"/>
            <w:gridSpan w:val="5"/>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1139" w:hRule="exact"/>
          <w:jc w:val="center"/>
        </w:trPr>
        <w:tc>
          <w:tcPr>
            <w:tcW w:w="1912" w:type="dxa"/>
            <w:vAlign w:val="center"/>
          </w:tcPr>
          <w:p>
            <w:pPr>
              <w:pStyle w:val="22"/>
              <w:adjustRightInd w:val="0"/>
              <w:snapToGrid w:val="0"/>
              <w:spacing w:line="240" w:lineRule="auto"/>
              <w:ind w:left="0" w:firstLine="0"/>
              <w:jc w:val="center"/>
              <w:rPr>
                <w:rFonts w:hint="eastAsia"/>
              </w:rPr>
            </w:pPr>
            <w:r>
              <w:rPr>
                <w:rFonts w:hint="eastAsia"/>
              </w:rPr>
              <w:t>产品名称</w:t>
            </w:r>
          </w:p>
        </w:tc>
        <w:tc>
          <w:tcPr>
            <w:tcW w:w="3543" w:type="dxa"/>
            <w:vAlign w:val="center"/>
          </w:tcPr>
          <w:p>
            <w:pPr>
              <w:adjustRightInd w:val="0"/>
              <w:snapToGrid w:val="0"/>
              <w:jc w:val="left"/>
              <w:rPr>
                <w:rFonts w:hint="eastAsia" w:ascii="宋体" w:hAnsi="宋体"/>
                <w:szCs w:val="21"/>
              </w:rPr>
            </w:pPr>
            <w:r>
              <w:rPr>
                <w:rFonts w:hint="eastAsia" w:ascii="宋体" w:hAnsi="宋体" w:cs="宋体"/>
                <w:szCs w:val="21"/>
              </w:rPr>
              <w:t>□</w:t>
            </w:r>
            <w:r>
              <w:rPr>
                <w:rFonts w:hint="eastAsia" w:ascii="宋体" w:hAnsi="宋体"/>
                <w:szCs w:val="21"/>
              </w:rPr>
              <w:t xml:space="preserve">平衡重式叉车 </w:t>
            </w:r>
            <w:r>
              <w:rPr>
                <w:rFonts w:hint="eastAsia" w:ascii="宋体" w:hAnsi="宋体" w:cs="宋体"/>
                <w:szCs w:val="21"/>
              </w:rPr>
              <w:t>□</w:t>
            </w:r>
            <w:r>
              <w:rPr>
                <w:rFonts w:hint="eastAsia" w:ascii="宋体" w:hAnsi="宋体"/>
                <w:szCs w:val="21"/>
              </w:rPr>
              <w:t>前移式叉车</w:t>
            </w:r>
          </w:p>
          <w:p>
            <w:pPr>
              <w:adjustRightInd w:val="0"/>
              <w:snapToGrid w:val="0"/>
              <w:jc w:val="left"/>
              <w:rPr>
                <w:rFonts w:hint="eastAsia" w:ascii="宋体" w:hAnsi="宋体"/>
                <w:szCs w:val="21"/>
              </w:rPr>
            </w:pPr>
            <w:r>
              <w:rPr>
                <w:rFonts w:hint="eastAsia" w:ascii="宋体" w:hAnsi="宋体" w:cs="宋体"/>
                <w:szCs w:val="21"/>
              </w:rPr>
              <w:t>□</w:t>
            </w:r>
            <w:r>
              <w:rPr>
                <w:rFonts w:hint="eastAsia" w:ascii="宋体" w:hAnsi="宋体"/>
                <w:szCs w:val="21"/>
              </w:rPr>
              <w:t xml:space="preserve">侧面式叉车   </w:t>
            </w:r>
            <w:r>
              <w:rPr>
                <w:rFonts w:hint="eastAsia" w:ascii="宋体" w:hAnsi="宋体" w:cs="宋体"/>
                <w:szCs w:val="21"/>
              </w:rPr>
              <w:t>□</w:t>
            </w:r>
            <w:r>
              <w:rPr>
                <w:rFonts w:hint="eastAsia" w:ascii="宋体" w:hAnsi="宋体"/>
                <w:szCs w:val="21"/>
              </w:rPr>
              <w:t>插腿式叉车</w:t>
            </w:r>
          </w:p>
          <w:p>
            <w:pPr>
              <w:adjustRightInd w:val="0"/>
              <w:snapToGrid w:val="0"/>
              <w:jc w:val="left"/>
              <w:rPr>
                <w:szCs w:val="21"/>
              </w:rPr>
            </w:pPr>
            <w:r>
              <w:rPr>
                <w:rFonts w:hint="eastAsia" w:ascii="宋体" w:hAnsi="宋体" w:cs="宋体"/>
                <w:szCs w:val="21"/>
              </w:rPr>
              <w:t>□</w:t>
            </w:r>
            <w:r>
              <w:rPr>
                <w:rFonts w:hint="eastAsia" w:ascii="宋体" w:hAnsi="宋体"/>
                <w:szCs w:val="21"/>
              </w:rPr>
              <w:t xml:space="preserve">托盘堆垛车  </w:t>
            </w:r>
            <w:r>
              <w:rPr>
                <w:rFonts w:ascii="宋体" w:hAnsi="宋体"/>
                <w:szCs w:val="21"/>
              </w:rPr>
              <w:t xml:space="preserve"> </w:t>
            </w:r>
            <w:r>
              <w:rPr>
                <w:rFonts w:hint="eastAsia" w:ascii="宋体" w:hAnsi="宋体" w:cs="宋体"/>
                <w:szCs w:val="21"/>
              </w:rPr>
              <w:t>□</w:t>
            </w:r>
            <w:r>
              <w:rPr>
                <w:rFonts w:hint="eastAsia" w:ascii="宋体" w:hAnsi="宋体"/>
                <w:szCs w:val="21"/>
              </w:rPr>
              <w:t>三向堆垛式叉车</w:t>
            </w:r>
          </w:p>
        </w:tc>
        <w:tc>
          <w:tcPr>
            <w:tcW w:w="1560" w:type="dxa"/>
            <w:gridSpan w:val="3"/>
            <w:vAlign w:val="center"/>
          </w:tcPr>
          <w:p>
            <w:pPr>
              <w:adjustRightInd w:val="0"/>
              <w:snapToGrid w:val="0"/>
              <w:jc w:val="center"/>
              <w:rPr>
                <w:rFonts w:hint="eastAsia"/>
              </w:rPr>
            </w:pPr>
            <w:r>
              <w:rPr>
                <w:rFonts w:hint="eastAsia"/>
              </w:rPr>
              <w:t>设备代码</w:t>
            </w:r>
          </w:p>
        </w:tc>
        <w:tc>
          <w:tcPr>
            <w:tcW w:w="2618" w:type="dxa"/>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pStyle w:val="22"/>
              <w:adjustRightInd w:val="0"/>
              <w:snapToGrid w:val="0"/>
              <w:spacing w:line="240" w:lineRule="auto"/>
              <w:ind w:left="0" w:firstLine="0"/>
              <w:jc w:val="center"/>
              <w:rPr>
                <w:rFonts w:hint="eastAsia"/>
              </w:rPr>
            </w:pPr>
            <w:r>
              <w:rPr>
                <w:rFonts w:hint="eastAsia"/>
              </w:rPr>
              <w:t>产品型号</w:t>
            </w:r>
          </w:p>
        </w:tc>
        <w:tc>
          <w:tcPr>
            <w:tcW w:w="3543" w:type="dxa"/>
            <w:vAlign w:val="center"/>
          </w:tcPr>
          <w:p>
            <w:pPr>
              <w:adjustRightInd w:val="0"/>
              <w:snapToGrid w:val="0"/>
              <w:jc w:val="center"/>
            </w:pPr>
          </w:p>
        </w:tc>
        <w:tc>
          <w:tcPr>
            <w:tcW w:w="1560" w:type="dxa"/>
            <w:gridSpan w:val="3"/>
            <w:vAlign w:val="center"/>
          </w:tcPr>
          <w:p>
            <w:pPr>
              <w:adjustRightInd w:val="0"/>
              <w:snapToGrid w:val="0"/>
              <w:jc w:val="center"/>
              <w:rPr>
                <w:rFonts w:hint="eastAsia"/>
              </w:rPr>
            </w:pPr>
            <w:r>
              <w:rPr>
                <w:rFonts w:hint="eastAsia"/>
              </w:rPr>
              <w:t>产品编号</w:t>
            </w:r>
          </w:p>
        </w:tc>
        <w:tc>
          <w:tcPr>
            <w:tcW w:w="2618" w:type="dxa"/>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pStyle w:val="22"/>
              <w:adjustRightInd w:val="0"/>
              <w:snapToGrid w:val="0"/>
              <w:spacing w:line="240" w:lineRule="auto"/>
              <w:ind w:left="0" w:firstLine="0"/>
              <w:jc w:val="center"/>
              <w:rPr>
                <w:rFonts w:hint="eastAsia"/>
              </w:rPr>
            </w:pPr>
            <w:r>
              <w:rPr>
                <w:rFonts w:hint="eastAsia"/>
              </w:rPr>
              <w:t>车架编号</w:t>
            </w:r>
          </w:p>
        </w:tc>
        <w:tc>
          <w:tcPr>
            <w:tcW w:w="3543" w:type="dxa"/>
            <w:vAlign w:val="center"/>
          </w:tcPr>
          <w:p>
            <w:pPr>
              <w:adjustRightInd w:val="0"/>
              <w:snapToGrid w:val="0"/>
              <w:jc w:val="center"/>
              <w:rPr>
                <w:rFonts w:hint="eastAsia"/>
              </w:rPr>
            </w:pPr>
          </w:p>
        </w:tc>
        <w:tc>
          <w:tcPr>
            <w:tcW w:w="1560" w:type="dxa"/>
            <w:gridSpan w:val="3"/>
            <w:vAlign w:val="center"/>
          </w:tcPr>
          <w:p>
            <w:pPr>
              <w:adjustRightInd w:val="0"/>
              <w:snapToGrid w:val="0"/>
              <w:jc w:val="center"/>
              <w:rPr>
                <w:rFonts w:hint="eastAsia"/>
              </w:rPr>
            </w:pPr>
            <w:r>
              <w:rPr>
                <w:rFonts w:hint="eastAsia"/>
              </w:rPr>
              <w:t>发动机（行走电机）编号</w:t>
            </w:r>
          </w:p>
        </w:tc>
        <w:tc>
          <w:tcPr>
            <w:tcW w:w="2618" w:type="dxa"/>
            <w:vAlign w:val="center"/>
          </w:tcPr>
          <w:p>
            <w:pPr>
              <w:adjustRightInd w:val="0"/>
              <w:snapToGrid w:val="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pStyle w:val="22"/>
              <w:adjustRightInd w:val="0"/>
              <w:snapToGrid w:val="0"/>
              <w:spacing w:line="240" w:lineRule="auto"/>
              <w:ind w:left="0" w:firstLine="0"/>
              <w:jc w:val="center"/>
              <w:rPr>
                <w:rFonts w:hint="eastAsia"/>
              </w:rPr>
            </w:pPr>
            <w:r>
              <w:rPr>
                <w:rFonts w:hint="eastAsia"/>
              </w:rPr>
              <w:t>额定起重量</w:t>
            </w:r>
          </w:p>
        </w:tc>
        <w:tc>
          <w:tcPr>
            <w:tcW w:w="3543" w:type="dxa"/>
            <w:vAlign w:val="center"/>
          </w:tcPr>
          <w:p>
            <w:pPr>
              <w:adjustRightInd w:val="0"/>
              <w:snapToGrid w:val="0"/>
              <w:jc w:val="center"/>
              <w:rPr>
                <w:rFonts w:hint="eastAsia"/>
              </w:rPr>
            </w:pPr>
            <w:r>
              <w:rPr>
                <w:rFonts w:hint="eastAsia"/>
              </w:rPr>
              <w:t>kg</w:t>
            </w:r>
          </w:p>
        </w:tc>
        <w:tc>
          <w:tcPr>
            <w:tcW w:w="424" w:type="dxa"/>
            <w:gridSpan w:val="2"/>
            <w:vMerge w:val="restart"/>
            <w:vAlign w:val="center"/>
          </w:tcPr>
          <w:p>
            <w:pPr>
              <w:pStyle w:val="22"/>
              <w:adjustRightInd w:val="0"/>
              <w:snapToGrid w:val="0"/>
              <w:spacing w:line="240" w:lineRule="auto"/>
              <w:ind w:left="0" w:firstLine="0"/>
              <w:jc w:val="center"/>
              <w:rPr>
                <w:rFonts w:hint="eastAsia"/>
              </w:rPr>
            </w:pPr>
            <w:r>
              <w:rPr>
                <w:rFonts w:hint="eastAsia"/>
              </w:rPr>
              <w:t>防爆</w:t>
            </w:r>
          </w:p>
        </w:tc>
        <w:tc>
          <w:tcPr>
            <w:tcW w:w="1136" w:type="dxa"/>
            <w:vAlign w:val="center"/>
          </w:tcPr>
          <w:p>
            <w:pPr>
              <w:adjustRightInd w:val="0"/>
              <w:snapToGrid w:val="0"/>
              <w:jc w:val="center"/>
            </w:pPr>
            <w:r>
              <w:t>设备保护级别</w:t>
            </w:r>
          </w:p>
        </w:tc>
        <w:tc>
          <w:tcPr>
            <w:tcW w:w="2618" w:type="dxa"/>
            <w:vAlign w:val="center"/>
          </w:tcPr>
          <w:p>
            <w:pPr>
              <w:pStyle w:val="22"/>
              <w:ind w:left="0"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716" w:hRule="exact"/>
          <w:jc w:val="center"/>
        </w:trPr>
        <w:tc>
          <w:tcPr>
            <w:tcW w:w="1912" w:type="dxa"/>
            <w:vAlign w:val="center"/>
          </w:tcPr>
          <w:p>
            <w:pPr>
              <w:pStyle w:val="22"/>
              <w:adjustRightInd w:val="0"/>
              <w:snapToGrid w:val="0"/>
              <w:spacing w:line="240" w:lineRule="auto"/>
              <w:ind w:left="0" w:firstLine="0"/>
              <w:jc w:val="center"/>
              <w:rPr>
                <w:rFonts w:hint="eastAsia"/>
              </w:rPr>
            </w:pPr>
            <w:r>
              <w:rPr>
                <w:rFonts w:hint="eastAsia"/>
              </w:rPr>
              <w:t>动力方式</w:t>
            </w:r>
          </w:p>
        </w:tc>
        <w:tc>
          <w:tcPr>
            <w:tcW w:w="3543" w:type="dxa"/>
            <w:vAlign w:val="center"/>
          </w:tcPr>
          <w:p>
            <w:pPr>
              <w:pStyle w:val="22"/>
              <w:snapToGrid w:val="0"/>
              <w:spacing w:line="240" w:lineRule="auto"/>
              <w:ind w:left="0" w:firstLine="0"/>
              <w:jc w:val="left"/>
              <w:rPr>
                <w:rFonts w:ascii="宋体" w:hAnsi="宋体"/>
                <w:szCs w:val="21"/>
              </w:rPr>
            </w:pPr>
            <w:r>
              <w:rPr>
                <w:rFonts w:hint="eastAsia" w:ascii="宋体" w:hAnsi="宋体" w:cs="宋体"/>
                <w:szCs w:val="21"/>
              </w:rPr>
              <w:t>□</w:t>
            </w:r>
            <w:r>
              <w:rPr>
                <w:rFonts w:hint="eastAsia" w:ascii="宋体" w:hAnsi="宋体"/>
                <w:szCs w:val="21"/>
              </w:rPr>
              <w:t>电动</w:t>
            </w:r>
            <w:r>
              <w:rPr>
                <w:rFonts w:hint="eastAsia" w:ascii="宋体" w:hAnsi="宋体"/>
                <w:szCs w:val="21"/>
                <w:lang w:val="en-US" w:eastAsia="zh-CN"/>
              </w:rPr>
              <w:t xml:space="preserve">         </w:t>
            </w:r>
            <w:r>
              <w:rPr>
                <w:rFonts w:hint="eastAsia" w:ascii="宋体" w:hAnsi="宋体" w:cs="宋体"/>
                <w:szCs w:val="21"/>
              </w:rPr>
              <w:t>□</w:t>
            </w:r>
            <w:r>
              <w:rPr>
                <w:rFonts w:hint="eastAsia" w:ascii="宋体" w:hAnsi="宋体"/>
                <w:szCs w:val="21"/>
              </w:rPr>
              <w:t>内燃</w:t>
            </w:r>
          </w:p>
          <w:p>
            <w:pPr>
              <w:pStyle w:val="22"/>
              <w:snapToGrid w:val="0"/>
              <w:spacing w:line="240" w:lineRule="auto"/>
              <w:ind w:left="0" w:firstLine="0"/>
              <w:jc w:val="left"/>
              <w:rPr>
                <w:rFonts w:hint="eastAsia"/>
              </w:rPr>
            </w:pPr>
            <w:r>
              <w:rPr>
                <w:rFonts w:hint="eastAsia" w:ascii="宋体" w:hAnsi="宋体" w:cs="宋体"/>
                <w:szCs w:val="21"/>
              </w:rPr>
              <w:t>□</w:t>
            </w:r>
            <w:r>
              <w:rPr>
                <w:rFonts w:hint="eastAsia" w:ascii="宋体" w:hAnsi="宋体"/>
                <w:szCs w:val="21"/>
              </w:rPr>
              <w:t>混合动力</w:t>
            </w:r>
          </w:p>
        </w:tc>
        <w:tc>
          <w:tcPr>
            <w:tcW w:w="424" w:type="dxa"/>
            <w:gridSpan w:val="2"/>
            <w:vMerge w:val="continue"/>
            <w:vAlign w:val="center"/>
          </w:tcPr>
          <w:p>
            <w:pPr>
              <w:pStyle w:val="22"/>
              <w:adjustRightInd w:val="0"/>
              <w:snapToGrid w:val="0"/>
              <w:spacing w:line="240" w:lineRule="auto"/>
              <w:ind w:left="0" w:firstLine="0"/>
              <w:jc w:val="center"/>
              <w:rPr>
                <w:rFonts w:hint="eastAsia"/>
              </w:rPr>
            </w:pPr>
          </w:p>
        </w:tc>
        <w:tc>
          <w:tcPr>
            <w:tcW w:w="1136" w:type="dxa"/>
            <w:vAlign w:val="center"/>
          </w:tcPr>
          <w:p>
            <w:pPr>
              <w:adjustRightInd w:val="0"/>
              <w:snapToGrid w:val="0"/>
              <w:jc w:val="center"/>
            </w:pPr>
            <w:r>
              <w:t>气体/粉尘组别</w:t>
            </w:r>
          </w:p>
        </w:tc>
        <w:tc>
          <w:tcPr>
            <w:tcW w:w="2618" w:type="dxa"/>
            <w:vAlign w:val="center"/>
          </w:tcPr>
          <w:p>
            <w:pPr>
              <w:pStyle w:val="22"/>
              <w:snapToGrid w:val="0"/>
              <w:spacing w:line="240" w:lineRule="auto"/>
              <w:ind w:left="0" w:firstLine="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pStyle w:val="22"/>
              <w:adjustRightInd w:val="0"/>
              <w:snapToGrid w:val="0"/>
              <w:spacing w:line="240" w:lineRule="auto"/>
              <w:ind w:left="0" w:firstLine="0"/>
              <w:jc w:val="center"/>
              <w:rPr>
                <w:rFonts w:hint="eastAsia"/>
              </w:rPr>
            </w:pPr>
            <w:r>
              <w:rPr>
                <w:rFonts w:hint="eastAsia"/>
              </w:rPr>
              <w:t>传动方式</w:t>
            </w:r>
          </w:p>
        </w:tc>
        <w:tc>
          <w:tcPr>
            <w:tcW w:w="3543" w:type="dxa"/>
            <w:vAlign w:val="center"/>
          </w:tcPr>
          <w:p>
            <w:pPr>
              <w:pStyle w:val="22"/>
              <w:snapToGrid w:val="0"/>
              <w:spacing w:line="240" w:lineRule="auto"/>
              <w:ind w:left="0" w:firstLine="0"/>
              <w:jc w:val="center"/>
              <w:rPr>
                <w:rFonts w:hint="eastAsia"/>
              </w:rPr>
            </w:pPr>
            <w:r>
              <w:rPr>
                <w:rFonts w:hint="eastAsia" w:ascii="宋体" w:hAnsi="宋体" w:cs="宋体"/>
                <w:szCs w:val="21"/>
              </w:rPr>
              <w:t>□</w:t>
            </w:r>
            <w:r>
              <w:rPr>
                <w:rFonts w:hint="eastAsia" w:ascii="宋体" w:hAnsi="宋体"/>
                <w:szCs w:val="21"/>
              </w:rPr>
              <w:t>机械传动</w:t>
            </w:r>
            <w:r>
              <w:rPr>
                <w:rFonts w:hint="eastAsia" w:ascii="宋体" w:hAnsi="宋体" w:cs="宋体"/>
                <w:szCs w:val="21"/>
              </w:rPr>
              <w:t>□</w:t>
            </w:r>
            <w:r>
              <w:rPr>
                <w:rFonts w:hint="eastAsia" w:ascii="宋体" w:hAnsi="宋体"/>
                <w:szCs w:val="21"/>
              </w:rPr>
              <w:t>液力传动</w:t>
            </w:r>
            <w:r>
              <w:rPr>
                <w:rFonts w:hint="eastAsia" w:ascii="宋体" w:hAnsi="宋体" w:cs="宋体"/>
                <w:szCs w:val="21"/>
              </w:rPr>
              <w:t>□</w:t>
            </w:r>
            <w:r>
              <w:rPr>
                <w:rFonts w:hint="eastAsia" w:ascii="宋体" w:hAnsi="宋体"/>
                <w:szCs w:val="21"/>
              </w:rPr>
              <w:t>静压传动</w:t>
            </w:r>
          </w:p>
        </w:tc>
        <w:tc>
          <w:tcPr>
            <w:tcW w:w="424" w:type="dxa"/>
            <w:gridSpan w:val="2"/>
            <w:vMerge w:val="continue"/>
            <w:vAlign w:val="center"/>
          </w:tcPr>
          <w:p>
            <w:pPr>
              <w:pStyle w:val="22"/>
              <w:adjustRightInd w:val="0"/>
              <w:snapToGrid w:val="0"/>
              <w:spacing w:line="240" w:lineRule="auto"/>
              <w:ind w:left="0" w:firstLine="0"/>
              <w:jc w:val="center"/>
              <w:rPr>
                <w:rFonts w:hint="eastAsia"/>
              </w:rPr>
            </w:pPr>
          </w:p>
        </w:tc>
        <w:tc>
          <w:tcPr>
            <w:tcW w:w="1136" w:type="dxa"/>
            <w:vAlign w:val="center"/>
          </w:tcPr>
          <w:p>
            <w:pPr>
              <w:adjustRightInd w:val="0"/>
              <w:snapToGrid w:val="0"/>
              <w:jc w:val="center"/>
            </w:pPr>
            <w:r>
              <w:t>温度组别</w:t>
            </w:r>
          </w:p>
        </w:tc>
        <w:tc>
          <w:tcPr>
            <w:tcW w:w="2618" w:type="dxa"/>
            <w:vAlign w:val="center"/>
          </w:tcPr>
          <w:p>
            <w:pPr>
              <w:pStyle w:val="22"/>
              <w:ind w:left="0" w:firstLine="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974" w:hRule="exact"/>
          <w:jc w:val="center"/>
        </w:trPr>
        <w:tc>
          <w:tcPr>
            <w:tcW w:w="1912" w:type="dxa"/>
            <w:vAlign w:val="center"/>
          </w:tcPr>
          <w:p>
            <w:pPr>
              <w:adjustRightInd w:val="0"/>
              <w:snapToGrid w:val="0"/>
              <w:jc w:val="center"/>
              <w:rPr>
                <w:rFonts w:hint="eastAsia" w:ascii="宋体" w:hAnsi="宋体" w:cs="宋体"/>
                <w:szCs w:val="21"/>
              </w:rPr>
            </w:pPr>
            <w:r>
              <w:rPr>
                <w:rFonts w:hint="eastAsia" w:ascii="宋体" w:hAnsi="宋体" w:cs="宋体"/>
                <w:szCs w:val="21"/>
              </w:rPr>
              <w:t>车架结构</w:t>
            </w:r>
          </w:p>
        </w:tc>
        <w:tc>
          <w:tcPr>
            <w:tcW w:w="3543" w:type="dxa"/>
            <w:vAlign w:val="center"/>
          </w:tcPr>
          <w:p>
            <w:pPr>
              <w:pStyle w:val="22"/>
              <w:snapToGrid w:val="0"/>
              <w:spacing w:line="240" w:lineRule="auto"/>
              <w:ind w:left="0" w:firstLine="0"/>
              <w:jc w:val="left"/>
              <w:rPr>
                <w:rFonts w:ascii="宋体" w:hAnsi="宋体" w:cs="宋体"/>
                <w:szCs w:val="21"/>
              </w:rPr>
            </w:pPr>
            <w:r>
              <w:rPr>
                <w:rFonts w:hint="eastAsia" w:ascii="宋体" w:hAnsi="宋体" w:cs="宋体"/>
                <w:szCs w:val="21"/>
              </w:rPr>
              <w:t>□三支点整体车架结构</w:t>
            </w:r>
          </w:p>
          <w:p>
            <w:pPr>
              <w:pStyle w:val="22"/>
              <w:snapToGrid w:val="0"/>
              <w:spacing w:line="240" w:lineRule="auto"/>
              <w:ind w:left="0" w:firstLine="0"/>
              <w:jc w:val="left"/>
              <w:rPr>
                <w:rFonts w:ascii="宋体" w:hAnsi="宋体" w:cs="宋体"/>
                <w:szCs w:val="21"/>
              </w:rPr>
            </w:pPr>
            <w:r>
              <w:rPr>
                <w:rFonts w:hint="eastAsia" w:ascii="宋体" w:hAnsi="宋体" w:cs="宋体"/>
                <w:szCs w:val="21"/>
              </w:rPr>
              <w:t>□四支点整体车架结构</w:t>
            </w:r>
          </w:p>
          <w:p>
            <w:pPr>
              <w:pStyle w:val="22"/>
              <w:snapToGrid w:val="0"/>
              <w:spacing w:line="240" w:lineRule="auto"/>
              <w:ind w:left="0" w:firstLine="0"/>
              <w:jc w:val="left"/>
              <w:rPr>
                <w:rFonts w:hint="eastAsia" w:ascii="宋体" w:hAnsi="宋体" w:cs="宋体"/>
                <w:szCs w:val="21"/>
              </w:rPr>
            </w:pPr>
            <w:r>
              <w:rPr>
                <w:rFonts w:hint="eastAsia" w:ascii="宋体" w:hAnsi="宋体" w:cs="宋体"/>
                <w:szCs w:val="21"/>
              </w:rPr>
              <w:t>□铰接车架结构</w:t>
            </w:r>
          </w:p>
        </w:tc>
        <w:tc>
          <w:tcPr>
            <w:tcW w:w="1560" w:type="dxa"/>
            <w:gridSpan w:val="3"/>
            <w:vAlign w:val="center"/>
          </w:tcPr>
          <w:p>
            <w:pPr>
              <w:adjustRightInd w:val="0"/>
              <w:snapToGrid w:val="0"/>
              <w:jc w:val="center"/>
              <w:rPr>
                <w:rFonts w:hint="eastAsia" w:ascii="宋体" w:hAnsi="宋体" w:cs="宋体"/>
                <w:szCs w:val="21"/>
              </w:rPr>
            </w:pPr>
            <w:r>
              <w:rPr>
                <w:rFonts w:hint="eastAsia" w:ascii="宋体" w:hAnsi="宋体" w:cs="宋体"/>
                <w:szCs w:val="21"/>
              </w:rPr>
              <w:t>驾驶方式</w:t>
            </w:r>
          </w:p>
        </w:tc>
        <w:tc>
          <w:tcPr>
            <w:tcW w:w="2618" w:type="dxa"/>
            <w:vAlign w:val="center"/>
          </w:tcPr>
          <w:p>
            <w:pPr>
              <w:adjustRightInd w:val="0"/>
              <w:snapToGrid w:val="0"/>
              <w:jc w:val="left"/>
              <w:rPr>
                <w:rFonts w:ascii="宋体" w:hAnsi="宋体"/>
                <w:szCs w:val="21"/>
              </w:rPr>
            </w:pPr>
            <w:r>
              <w:rPr>
                <w:rFonts w:hint="eastAsia" w:ascii="宋体" w:hAnsi="宋体" w:cs="宋体"/>
                <w:szCs w:val="21"/>
              </w:rPr>
              <w:t>□</w:t>
            </w:r>
            <w:r>
              <w:rPr>
                <w:rFonts w:hint="eastAsia" w:ascii="宋体" w:hAnsi="宋体"/>
                <w:szCs w:val="21"/>
              </w:rPr>
              <w:t xml:space="preserve">坐驾 </w:t>
            </w:r>
          </w:p>
          <w:p>
            <w:pPr>
              <w:adjustRightInd w:val="0"/>
              <w:snapToGrid w:val="0"/>
              <w:jc w:val="left"/>
              <w:rPr>
                <w:rFonts w:ascii="宋体" w:hAnsi="宋体"/>
                <w:szCs w:val="21"/>
              </w:rPr>
            </w:pPr>
            <w:r>
              <w:rPr>
                <w:rFonts w:hint="eastAsia" w:ascii="宋体" w:hAnsi="宋体" w:cs="宋体"/>
                <w:szCs w:val="21"/>
              </w:rPr>
              <w:t>□</w:t>
            </w:r>
            <w:r>
              <w:rPr>
                <w:rFonts w:hint="eastAsia" w:ascii="宋体" w:hAnsi="宋体"/>
                <w:szCs w:val="21"/>
              </w:rPr>
              <w:t>站驾</w:t>
            </w:r>
          </w:p>
          <w:p>
            <w:pPr>
              <w:adjustRightInd w:val="0"/>
              <w:snapToGrid w:val="0"/>
              <w:jc w:val="left"/>
              <w:rPr>
                <w:rFonts w:hint="eastAsia" w:ascii="宋体" w:hAnsi="宋体" w:cs="宋体"/>
                <w:szCs w:val="21"/>
              </w:rPr>
            </w:pPr>
            <w:r>
              <w:rPr>
                <w:rFonts w:hint="eastAsia" w:ascii="宋体" w:hAnsi="宋体" w:cs="宋体"/>
                <w:szCs w:val="21"/>
              </w:rPr>
              <w:t>□</w:t>
            </w:r>
            <w:r>
              <w:rPr>
                <w:rFonts w:hint="eastAsia" w:ascii="宋体" w:hAnsi="宋体"/>
                <w:szCs w:val="21"/>
              </w:rPr>
              <w:t>步架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720" w:hRule="exact"/>
          <w:jc w:val="center"/>
        </w:trPr>
        <w:tc>
          <w:tcPr>
            <w:tcW w:w="1912" w:type="dxa"/>
            <w:vAlign w:val="center"/>
          </w:tcPr>
          <w:p>
            <w:pPr>
              <w:adjustRightInd w:val="0"/>
              <w:snapToGrid w:val="0"/>
              <w:jc w:val="center"/>
              <w:rPr>
                <w:rFonts w:hint="eastAsia" w:ascii="宋体" w:hAnsi="宋体" w:cs="宋体"/>
                <w:szCs w:val="21"/>
              </w:rPr>
            </w:pPr>
            <w:r>
              <w:rPr>
                <w:rFonts w:hint="eastAsia" w:ascii="宋体" w:hAnsi="宋体" w:cs="宋体"/>
                <w:szCs w:val="21"/>
              </w:rPr>
              <w:t>自重</w:t>
            </w:r>
          </w:p>
        </w:tc>
        <w:tc>
          <w:tcPr>
            <w:tcW w:w="3543" w:type="dxa"/>
            <w:vAlign w:val="center"/>
          </w:tcPr>
          <w:p>
            <w:pPr>
              <w:jc w:val="center"/>
              <w:rPr>
                <w:rFonts w:hint="eastAsia" w:ascii="宋体" w:hAnsi="宋体" w:cs="宋体"/>
                <w:bCs/>
                <w:szCs w:val="21"/>
              </w:rPr>
            </w:pPr>
            <w:r>
              <w:rPr>
                <w:rFonts w:hint="eastAsia"/>
              </w:rPr>
              <w:t>kg</w:t>
            </w:r>
          </w:p>
        </w:tc>
        <w:tc>
          <w:tcPr>
            <w:tcW w:w="1560" w:type="dxa"/>
            <w:gridSpan w:val="3"/>
            <w:vAlign w:val="center"/>
          </w:tcPr>
          <w:p>
            <w:pPr>
              <w:widowControl/>
              <w:jc w:val="center"/>
              <w:rPr>
                <w:rFonts w:hint="eastAsia" w:ascii="宋体" w:hAnsi="宋体" w:cs="宋体"/>
                <w:szCs w:val="21"/>
              </w:rPr>
            </w:pPr>
            <w:r>
              <w:rPr>
                <w:rFonts w:hint="eastAsia" w:ascii="宋体" w:hAnsi="宋体" w:cs="宋体"/>
                <w:szCs w:val="21"/>
              </w:rPr>
              <w:t>空载最大运行</w:t>
            </w:r>
          </w:p>
          <w:p>
            <w:pPr>
              <w:widowControl/>
              <w:jc w:val="center"/>
              <w:rPr>
                <w:rFonts w:ascii="宋体" w:hAnsi="宋体" w:cs="宋体"/>
                <w:szCs w:val="21"/>
              </w:rPr>
            </w:pPr>
            <w:r>
              <w:rPr>
                <w:rFonts w:hint="eastAsia" w:ascii="宋体" w:hAnsi="宋体" w:cs="宋体"/>
                <w:szCs w:val="21"/>
              </w:rPr>
              <w:t>速度</w:t>
            </w:r>
          </w:p>
          <w:p>
            <w:pPr>
              <w:adjustRightInd w:val="0"/>
              <w:snapToGrid w:val="0"/>
              <w:jc w:val="center"/>
              <w:rPr>
                <w:rFonts w:hint="eastAsia" w:ascii="宋体" w:hAnsi="宋体" w:cs="宋体"/>
                <w:szCs w:val="21"/>
              </w:rPr>
            </w:pPr>
          </w:p>
        </w:tc>
        <w:tc>
          <w:tcPr>
            <w:tcW w:w="2618" w:type="dxa"/>
            <w:vAlign w:val="center"/>
          </w:tcPr>
          <w:p>
            <w:pPr>
              <w:widowControl/>
              <w:jc w:val="center"/>
              <w:rPr>
                <w:rFonts w:hint="eastAsia"/>
                <w:szCs w:val="21"/>
              </w:rPr>
            </w:pPr>
            <w:r>
              <w:rPr>
                <w:szCs w:val="21"/>
              </w:rPr>
              <w:t>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adjustRightInd w:val="0"/>
              <w:snapToGrid w:val="0"/>
              <w:jc w:val="center"/>
              <w:rPr>
                <w:rFonts w:hint="eastAsia" w:ascii="宋体" w:hAnsi="宋体" w:cs="宋体"/>
                <w:szCs w:val="21"/>
              </w:rPr>
            </w:pPr>
            <w:r>
              <w:rPr>
                <w:rFonts w:hint="eastAsia" w:ascii="宋体" w:hAnsi="宋体" w:cs="宋体"/>
                <w:szCs w:val="21"/>
              </w:rPr>
              <w:t>空载最大起升高度</w:t>
            </w:r>
          </w:p>
        </w:tc>
        <w:tc>
          <w:tcPr>
            <w:tcW w:w="3543" w:type="dxa"/>
            <w:vAlign w:val="bottom"/>
          </w:tcPr>
          <w:p>
            <w:pPr>
              <w:adjustRightInd w:val="0"/>
              <w:snapToGrid w:val="0"/>
              <w:jc w:val="center"/>
              <w:rPr>
                <w:szCs w:val="21"/>
              </w:rPr>
            </w:pPr>
            <w:r>
              <w:rPr>
                <w:rFonts w:hint="eastAsia"/>
                <w:szCs w:val="21"/>
              </w:rPr>
              <w:t>m</w:t>
            </w:r>
            <w:r>
              <w:rPr>
                <w:szCs w:val="21"/>
              </w:rPr>
              <w:t>m</w:t>
            </w:r>
          </w:p>
          <w:p>
            <w:pPr>
              <w:adjustRightInd w:val="0"/>
              <w:snapToGrid w:val="0"/>
              <w:jc w:val="right"/>
              <w:rPr>
                <w:rFonts w:hint="eastAsia" w:ascii="宋体" w:hAnsi="宋体" w:cs="宋体"/>
                <w:szCs w:val="21"/>
              </w:rPr>
            </w:pPr>
          </w:p>
        </w:tc>
        <w:tc>
          <w:tcPr>
            <w:tcW w:w="1560" w:type="dxa"/>
            <w:gridSpan w:val="3"/>
            <w:vAlign w:val="center"/>
          </w:tcPr>
          <w:p>
            <w:pPr>
              <w:adjustRightInd w:val="0"/>
              <w:snapToGrid w:val="0"/>
              <w:jc w:val="center"/>
              <w:rPr>
                <w:rFonts w:hint="eastAsia" w:ascii="宋体" w:hAnsi="宋体" w:cs="宋体"/>
                <w:szCs w:val="21"/>
              </w:rPr>
            </w:pPr>
            <w:r>
              <w:rPr>
                <w:rFonts w:hint="eastAsia" w:ascii="宋体" w:hAnsi="宋体" w:cs="宋体"/>
                <w:szCs w:val="21"/>
              </w:rPr>
              <w:t>自检日期</w:t>
            </w:r>
          </w:p>
        </w:tc>
        <w:tc>
          <w:tcPr>
            <w:tcW w:w="2618" w:type="dxa"/>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48" w:hRule="exact"/>
          <w:jc w:val="center"/>
        </w:trPr>
        <w:tc>
          <w:tcPr>
            <w:tcW w:w="1912" w:type="dxa"/>
            <w:vAlign w:val="center"/>
          </w:tcPr>
          <w:p>
            <w:pPr>
              <w:adjustRightInd w:val="0"/>
              <w:snapToGrid w:val="0"/>
              <w:jc w:val="center"/>
              <w:rPr>
                <w:rFonts w:hint="eastAsia" w:ascii="宋体" w:hAnsi="宋体" w:cs="宋体"/>
                <w:szCs w:val="21"/>
              </w:rPr>
            </w:pPr>
            <w:r>
              <w:rPr>
                <w:rFonts w:hint="eastAsia" w:ascii="宋体" w:hAnsi="宋体" w:cs="宋体"/>
                <w:szCs w:val="21"/>
              </w:rPr>
              <w:t>自检依据</w:t>
            </w:r>
          </w:p>
        </w:tc>
        <w:tc>
          <w:tcPr>
            <w:tcW w:w="7721" w:type="dxa"/>
            <w:gridSpan w:val="5"/>
            <w:vAlign w:val="center"/>
          </w:tcPr>
          <w:p>
            <w:pPr>
              <w:adjustRightInd w:val="0"/>
              <w:snapToGrid w:val="0"/>
              <w:jc w:val="center"/>
              <w:rPr>
                <w:rFonts w:hint="eastAsia" w:ascii="宋体" w:hAnsi="宋体" w:cs="宋体"/>
                <w:sz w:val="24"/>
                <w:szCs w:val="24"/>
              </w:rPr>
            </w:pPr>
            <w:r>
              <w:rPr>
                <w:rFonts w:ascii="宋体" w:hAnsi="宋体" w:cs="宋体"/>
                <w:szCs w:val="21"/>
              </w:rPr>
              <w:t>《场（厂）内专用机动车辆安全技术规程》（TSG 81—2022</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18"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Cs w:val="21"/>
              </w:rPr>
            </w:pPr>
            <w:r>
              <w:rPr>
                <w:rFonts w:hint="eastAsia" w:ascii="宋体" w:hAnsi="宋体" w:cs="宋体"/>
                <w:szCs w:val="21"/>
              </w:rPr>
              <w:t>自检结论</w:t>
            </w:r>
          </w:p>
        </w:tc>
        <w:tc>
          <w:tcPr>
            <w:tcW w:w="77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Cs w:val="21"/>
              </w:rPr>
            </w:pPr>
            <w:r>
              <w:rPr>
                <w:rFonts w:hint="eastAsia" w:ascii="宋体" w:hAnsi="宋体" w:cs="宋体"/>
                <w:szCs w:val="21"/>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33"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备</w:t>
            </w:r>
            <w:r>
              <w:rPr>
                <w:rFonts w:hint="eastAsia" w:ascii="宋体" w:hAnsi="宋体" w:cs="宋体"/>
                <w:szCs w:val="21"/>
                <w:lang w:val="en-US" w:eastAsia="zh-CN"/>
              </w:rPr>
              <w:t xml:space="preserve">    </w:t>
            </w:r>
            <w:r>
              <w:rPr>
                <w:rFonts w:hint="eastAsia" w:ascii="宋体" w:hAnsi="宋体" w:cs="宋体"/>
                <w:szCs w:val="21"/>
                <w:lang w:eastAsia="zh-CN"/>
              </w:rPr>
              <w:t>注</w:t>
            </w:r>
          </w:p>
        </w:tc>
        <w:tc>
          <w:tcPr>
            <w:tcW w:w="772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13"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Cs w:val="21"/>
              </w:rPr>
            </w:pPr>
            <w:r>
              <w:rPr>
                <w:rFonts w:hint="eastAsia" w:ascii="宋体" w:hAnsi="宋体" w:cs="宋体"/>
                <w:szCs w:val="21"/>
              </w:rPr>
              <w:t>自检人员（签字）</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hint="eastAsia" w:ascii="宋体" w:hAnsi="宋体" w:cs="宋体"/>
                <w:szCs w:val="21"/>
              </w:rPr>
            </w:pPr>
            <w:r>
              <w:rPr>
                <w:rFonts w:hint="eastAsia" w:ascii="宋体" w:hAnsi="宋体" w:cs="宋体"/>
                <w:color w:val="000000"/>
                <w:sz w:val="24"/>
                <w:szCs w:val="24"/>
                <w:lang w:val="zh-TW" w:eastAsia="zh-TW" w:bidi="zh-TW"/>
              </w:rPr>
              <w:t>年</w:t>
            </w:r>
            <w:r>
              <w:rPr>
                <w:rFonts w:hint="eastAsia" w:ascii="宋体" w:hAnsi="宋体" w:cs="宋体"/>
                <w:color w:val="000000"/>
                <w:sz w:val="24"/>
                <w:szCs w:val="24"/>
                <w:lang w:bidi="zh-TW"/>
              </w:rPr>
              <w:t xml:space="preserve">  </w:t>
            </w:r>
            <w:r>
              <w:rPr>
                <w:rFonts w:hint="eastAsia" w:ascii="宋体" w:hAnsi="宋体" w:cs="宋体"/>
                <w:color w:val="000000"/>
                <w:sz w:val="24"/>
                <w:szCs w:val="24"/>
                <w:lang w:val="zh-TW" w:eastAsia="zh-TW" w:bidi="zh-TW"/>
              </w:rPr>
              <w:t>月</w:t>
            </w:r>
            <w:r>
              <w:rPr>
                <w:rFonts w:hint="eastAsia" w:ascii="宋体" w:hAnsi="宋体" w:cs="宋体"/>
                <w:color w:val="000000"/>
                <w:sz w:val="24"/>
                <w:szCs w:val="24"/>
                <w:lang w:bidi="zh-TW"/>
              </w:rPr>
              <w:t xml:space="preserve">  日</w:t>
            </w:r>
          </w:p>
        </w:tc>
        <w:tc>
          <w:tcPr>
            <w:tcW w:w="4171" w:type="dxa"/>
            <w:gridSpan w:val="3"/>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宋体" w:hAnsi="宋体" w:cs="宋体"/>
                <w:color w:val="000000"/>
                <w:sz w:val="24"/>
                <w:szCs w:val="24"/>
                <w:lang w:val="zh-TW" w:eastAsia="zh-CN" w:bidi="zh-TW"/>
              </w:rPr>
            </w:pPr>
            <w:r>
              <w:rPr>
                <w:rFonts w:hint="eastAsia" w:ascii="宋体" w:hAnsi="宋体" w:cs="宋体"/>
                <w:color w:val="000000"/>
                <w:sz w:val="24"/>
                <w:szCs w:val="24"/>
                <w:lang w:val="zh-TW" w:eastAsia="zh-CN" w:bidi="zh-TW"/>
              </w:rPr>
              <w:t>（使用单位名称</w:t>
            </w:r>
            <w:r>
              <w:rPr>
                <w:rFonts w:hint="eastAsia" w:ascii="宋体" w:hAnsi="宋体" w:cs="宋体"/>
                <w:color w:val="000000"/>
                <w:sz w:val="24"/>
                <w:szCs w:val="24"/>
                <w:lang w:val="en-US" w:eastAsia="zh-CN" w:bidi="zh-TW"/>
              </w:rPr>
              <w:t xml:space="preserve">  盖章</w:t>
            </w:r>
            <w:r>
              <w:rPr>
                <w:rFonts w:hint="eastAsia" w:ascii="宋体" w:hAnsi="宋体" w:cs="宋体"/>
                <w:color w:val="000000"/>
                <w:sz w:val="24"/>
                <w:szCs w:val="24"/>
                <w:lang w:val="zh-TW" w:eastAsia="zh-CN" w:bidi="zh-TW"/>
              </w:rPr>
              <w:t>）</w:t>
            </w:r>
          </w:p>
          <w:p>
            <w:pPr>
              <w:adjustRightInd w:val="0"/>
              <w:snapToGrid w:val="0"/>
              <w:jc w:val="center"/>
              <w:rPr>
                <w:rFonts w:hint="eastAsia" w:ascii="宋体" w:hAnsi="宋体" w:cs="宋体"/>
                <w:color w:val="000000"/>
                <w:sz w:val="24"/>
                <w:szCs w:val="24"/>
                <w:lang w:val="zh-TW" w:eastAsia="zh-CN" w:bidi="zh-TW"/>
              </w:rPr>
            </w:pPr>
            <w:r>
              <w:rPr>
                <w:rFonts w:hint="eastAsia" w:ascii="宋体" w:hAnsi="宋体" w:cs="宋体"/>
                <w:color w:val="000000"/>
                <w:sz w:val="24"/>
                <w:szCs w:val="24"/>
                <w:lang w:val="zh-TW" w:eastAsia="zh-TW" w:bidi="zh-TW"/>
              </w:rPr>
              <w:t>年</w:t>
            </w:r>
            <w:r>
              <w:rPr>
                <w:rFonts w:hint="eastAsia" w:ascii="宋体" w:hAnsi="宋体" w:cs="宋体"/>
                <w:color w:val="000000"/>
                <w:sz w:val="24"/>
                <w:szCs w:val="24"/>
                <w:lang w:bidi="zh-TW"/>
              </w:rPr>
              <w:t xml:space="preserve">  </w:t>
            </w:r>
            <w:r>
              <w:rPr>
                <w:rFonts w:hint="eastAsia" w:ascii="宋体" w:hAnsi="宋体" w:cs="宋体"/>
                <w:color w:val="000000"/>
                <w:sz w:val="24"/>
                <w:szCs w:val="24"/>
                <w:lang w:val="zh-TW" w:eastAsia="zh-TW" w:bidi="zh-TW"/>
              </w:rPr>
              <w:t>月</w:t>
            </w:r>
            <w:r>
              <w:rPr>
                <w:rFonts w:hint="eastAsia" w:ascii="宋体" w:hAnsi="宋体" w:cs="宋体"/>
                <w:color w:val="000000"/>
                <w:sz w:val="24"/>
                <w:szCs w:val="24"/>
                <w:lang w:bidi="zh-TW"/>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63" w:hRule="exact"/>
          <w:jc w:val="center"/>
        </w:trPr>
        <w:tc>
          <w:tcPr>
            <w:tcW w:w="19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Cs w:val="21"/>
                <w:lang w:eastAsia="zh-CN"/>
              </w:rPr>
            </w:pPr>
            <w:r>
              <w:rPr>
                <w:rFonts w:hint="eastAsia" w:ascii="宋体" w:hAnsi="宋体" w:cs="宋体"/>
                <w:szCs w:val="21"/>
                <w:lang w:eastAsia="zh-CN"/>
              </w:rPr>
              <w:t>安全管理人员</w:t>
            </w:r>
          </w:p>
          <w:p>
            <w:pPr>
              <w:adjustRightInd w:val="0"/>
              <w:snapToGrid w:val="0"/>
              <w:jc w:val="center"/>
              <w:rPr>
                <w:rFonts w:hint="eastAsia" w:ascii="宋体" w:hAnsi="宋体" w:eastAsia="宋体" w:cs="宋体"/>
                <w:szCs w:val="21"/>
                <w:lang w:eastAsia="zh-CN"/>
              </w:rPr>
            </w:pPr>
            <w:r>
              <w:rPr>
                <w:rFonts w:hint="eastAsia" w:ascii="宋体" w:hAnsi="宋体" w:cs="宋体"/>
                <w:szCs w:val="21"/>
              </w:rPr>
              <w:t>（签字）</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hint="eastAsia" w:ascii="宋体" w:hAnsi="宋体" w:cs="宋体"/>
                <w:szCs w:val="21"/>
              </w:rPr>
            </w:pPr>
            <w:r>
              <w:rPr>
                <w:rFonts w:hint="eastAsia" w:ascii="宋体" w:hAnsi="宋体" w:cs="宋体"/>
                <w:color w:val="000000"/>
                <w:sz w:val="24"/>
                <w:szCs w:val="24"/>
                <w:lang w:val="zh-TW" w:eastAsia="zh-TW" w:bidi="zh-TW"/>
              </w:rPr>
              <w:t>年</w:t>
            </w:r>
            <w:r>
              <w:rPr>
                <w:rFonts w:hint="eastAsia" w:ascii="宋体" w:hAnsi="宋体" w:cs="宋体"/>
                <w:color w:val="000000"/>
                <w:sz w:val="24"/>
                <w:szCs w:val="24"/>
                <w:lang w:bidi="zh-TW"/>
              </w:rPr>
              <w:t xml:space="preserve">  </w:t>
            </w:r>
            <w:r>
              <w:rPr>
                <w:rFonts w:hint="eastAsia" w:ascii="宋体" w:hAnsi="宋体" w:cs="宋体"/>
                <w:color w:val="000000"/>
                <w:sz w:val="24"/>
                <w:szCs w:val="24"/>
                <w:lang w:val="zh-TW" w:eastAsia="zh-TW" w:bidi="zh-TW"/>
              </w:rPr>
              <w:t>月</w:t>
            </w:r>
            <w:r>
              <w:rPr>
                <w:rFonts w:hint="eastAsia" w:ascii="宋体" w:hAnsi="宋体" w:cs="宋体"/>
                <w:color w:val="000000"/>
                <w:sz w:val="24"/>
                <w:szCs w:val="24"/>
                <w:lang w:bidi="zh-TW"/>
              </w:rPr>
              <w:t xml:space="preserve">  日</w:t>
            </w:r>
          </w:p>
        </w:tc>
        <w:tc>
          <w:tcPr>
            <w:tcW w:w="4171" w:type="dxa"/>
            <w:gridSpan w:val="3"/>
            <w:vMerge w:val="continue"/>
            <w:tcBorders>
              <w:left w:val="single" w:color="auto" w:sz="4" w:space="0"/>
              <w:right w:val="single" w:color="auto" w:sz="4" w:space="0"/>
            </w:tcBorders>
            <w:vAlign w:val="center"/>
          </w:tcPr>
          <w:p>
            <w:pPr>
              <w:adjustRightInd w:val="0"/>
              <w:snapToGrid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32" w:hRule="exact"/>
          <w:jc w:val="center"/>
        </w:trPr>
        <w:tc>
          <w:tcPr>
            <w:tcW w:w="1912" w:type="dxa"/>
            <w:tcBorders>
              <w:top w:val="single" w:color="auto" w:sz="4" w:space="0"/>
              <w:left w:val="single" w:color="auto" w:sz="4" w:space="0"/>
              <w:right w:val="single" w:color="auto" w:sz="4" w:space="0"/>
            </w:tcBorders>
            <w:vAlign w:val="center"/>
          </w:tcPr>
          <w:p>
            <w:pPr>
              <w:adjustRightInd w:val="0"/>
              <w:snapToGrid w:val="0"/>
              <w:jc w:val="center"/>
              <w:rPr>
                <w:rFonts w:hint="eastAsia" w:ascii="宋体" w:hAnsi="宋体" w:cs="宋体"/>
                <w:szCs w:val="21"/>
                <w:lang w:eastAsia="zh-CN"/>
              </w:rPr>
            </w:pPr>
            <w:r>
              <w:rPr>
                <w:rFonts w:hint="eastAsia" w:ascii="宋体" w:hAnsi="宋体" w:cs="宋体"/>
                <w:szCs w:val="21"/>
                <w:lang w:eastAsia="zh-CN"/>
              </w:rPr>
              <w:t>使用单位负责人</w:t>
            </w:r>
            <w:r>
              <w:rPr>
                <w:rFonts w:hint="eastAsia" w:ascii="宋体" w:hAnsi="宋体" w:cs="宋体"/>
                <w:szCs w:val="21"/>
              </w:rPr>
              <w:t>（签字）</w:t>
            </w:r>
          </w:p>
        </w:tc>
        <w:tc>
          <w:tcPr>
            <w:tcW w:w="3550" w:type="dxa"/>
            <w:gridSpan w:val="2"/>
            <w:tcBorders>
              <w:top w:val="single" w:color="auto" w:sz="4" w:space="0"/>
              <w:left w:val="single" w:color="auto" w:sz="4" w:space="0"/>
              <w:right w:val="single" w:color="auto" w:sz="4" w:space="0"/>
            </w:tcBorders>
            <w:vAlign w:val="center"/>
          </w:tcPr>
          <w:p>
            <w:pPr>
              <w:adjustRightInd w:val="0"/>
              <w:snapToGrid w:val="0"/>
              <w:jc w:val="right"/>
              <w:rPr>
                <w:rFonts w:hint="eastAsia" w:ascii="宋体" w:hAnsi="宋体" w:cs="宋体"/>
                <w:szCs w:val="21"/>
              </w:rPr>
            </w:pPr>
            <w:r>
              <w:rPr>
                <w:rFonts w:hint="eastAsia" w:ascii="宋体" w:hAnsi="宋体" w:cs="宋体"/>
                <w:color w:val="000000"/>
                <w:sz w:val="24"/>
                <w:szCs w:val="24"/>
                <w:lang w:val="zh-TW" w:eastAsia="zh-TW" w:bidi="zh-TW"/>
              </w:rPr>
              <w:t>年</w:t>
            </w:r>
            <w:r>
              <w:rPr>
                <w:rFonts w:hint="eastAsia" w:ascii="宋体" w:hAnsi="宋体" w:cs="宋体"/>
                <w:color w:val="000000"/>
                <w:sz w:val="24"/>
                <w:szCs w:val="24"/>
                <w:lang w:bidi="zh-TW"/>
              </w:rPr>
              <w:t xml:space="preserve">  </w:t>
            </w:r>
            <w:r>
              <w:rPr>
                <w:rFonts w:hint="eastAsia" w:ascii="宋体" w:hAnsi="宋体" w:cs="宋体"/>
                <w:color w:val="000000"/>
                <w:sz w:val="24"/>
                <w:szCs w:val="24"/>
                <w:lang w:val="zh-TW" w:eastAsia="zh-TW" w:bidi="zh-TW"/>
              </w:rPr>
              <w:t>月</w:t>
            </w:r>
            <w:r>
              <w:rPr>
                <w:rFonts w:hint="eastAsia" w:ascii="宋体" w:hAnsi="宋体" w:cs="宋体"/>
                <w:color w:val="000000"/>
                <w:sz w:val="24"/>
                <w:szCs w:val="24"/>
                <w:lang w:bidi="zh-TW"/>
              </w:rPr>
              <w:t xml:space="preserve">  日</w:t>
            </w:r>
          </w:p>
        </w:tc>
        <w:tc>
          <w:tcPr>
            <w:tcW w:w="4171" w:type="dxa"/>
            <w:gridSpan w:val="3"/>
            <w:vMerge w:val="continue"/>
            <w:tcBorders>
              <w:left w:val="single" w:color="auto" w:sz="4" w:space="0"/>
              <w:right w:val="single" w:color="auto" w:sz="4" w:space="0"/>
            </w:tcBorders>
            <w:vAlign w:val="center"/>
          </w:tcPr>
          <w:p>
            <w:pPr>
              <w:adjustRightInd w:val="0"/>
              <w:snapToGrid w:val="0"/>
              <w:rPr>
                <w:rFonts w:hint="eastAsia" w:ascii="宋体" w:hAnsi="宋体" w:cs="宋体"/>
                <w:szCs w:val="21"/>
              </w:rPr>
            </w:pPr>
          </w:p>
        </w:tc>
      </w:tr>
    </w:tbl>
    <w:p>
      <w:pPr>
        <w:adjustRightInd w:val="0"/>
        <w:snapToGrid w:val="0"/>
        <w:spacing w:before="156" w:beforeLines="50" w:line="360" w:lineRule="auto"/>
        <w:jc w:val="center"/>
        <w:rPr>
          <w:rFonts w:hint="eastAsia" w:ascii="宋体" w:hAnsi="宋体" w:cs="宋体"/>
          <w:b/>
          <w:bCs/>
          <w:sz w:val="28"/>
          <w:szCs w:val="28"/>
        </w:rPr>
      </w:pPr>
      <w:r>
        <w:rPr>
          <w:rFonts w:hint="eastAsia" w:ascii="宋体" w:hAnsi="宋体" w:cs="宋体"/>
          <w:b/>
          <w:bCs/>
          <w:sz w:val="28"/>
          <w:szCs w:val="28"/>
        </w:rPr>
        <w:t>叉车年度自检</w:t>
      </w:r>
      <w:r>
        <w:rPr>
          <w:rFonts w:hint="eastAsia" w:ascii="宋体" w:hAnsi="宋体" w:cs="宋体"/>
          <w:b/>
          <w:bCs/>
          <w:sz w:val="28"/>
          <w:szCs w:val="28"/>
          <w:lang w:eastAsia="zh-CN"/>
        </w:rPr>
        <w:t>报告</w:t>
      </w:r>
    </w:p>
    <w:tbl>
      <w:tblPr>
        <w:tblStyle w:val="13"/>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456"/>
        <w:gridCol w:w="619"/>
        <w:gridCol w:w="993"/>
        <w:gridCol w:w="5670"/>
        <w:gridCol w:w="1073"/>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blHeader/>
          <w:jc w:val="center"/>
        </w:trPr>
        <w:tc>
          <w:tcPr>
            <w:tcW w:w="456" w:type="dxa"/>
            <w:tcMar>
              <w:left w:w="57" w:type="dxa"/>
              <w:right w:w="57" w:type="dxa"/>
            </w:tcMar>
            <w:vAlign w:val="center"/>
          </w:tcPr>
          <w:p>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1612" w:type="dxa"/>
            <w:gridSpan w:val="2"/>
            <w:tcMar>
              <w:left w:w="57" w:type="dxa"/>
              <w:right w:w="57" w:type="dxa"/>
            </w:tcMar>
            <w:vAlign w:val="center"/>
          </w:tcPr>
          <w:p>
            <w:pPr>
              <w:adjustRightInd w:val="0"/>
              <w:snapToGrid w:val="0"/>
              <w:jc w:val="center"/>
              <w:rPr>
                <w:rFonts w:hint="eastAsia" w:ascii="宋体" w:hAnsi="宋体" w:cs="宋体"/>
                <w:b/>
                <w:bCs/>
                <w:szCs w:val="21"/>
              </w:rPr>
            </w:pPr>
            <w:r>
              <w:rPr>
                <w:rFonts w:hint="eastAsia" w:ascii="宋体" w:hAnsi="宋体" w:cs="宋体"/>
                <w:b/>
                <w:bCs/>
                <w:szCs w:val="21"/>
              </w:rPr>
              <w:t>自检项目</w:t>
            </w:r>
          </w:p>
        </w:tc>
        <w:tc>
          <w:tcPr>
            <w:tcW w:w="5670" w:type="dxa"/>
            <w:vAlign w:val="center"/>
          </w:tcPr>
          <w:p>
            <w:pPr>
              <w:adjustRightInd w:val="0"/>
              <w:snapToGrid w:val="0"/>
              <w:jc w:val="center"/>
              <w:rPr>
                <w:rFonts w:hint="eastAsia" w:ascii="宋体" w:hAnsi="宋体" w:cs="宋体"/>
                <w:b/>
                <w:bCs/>
                <w:szCs w:val="21"/>
              </w:rPr>
            </w:pPr>
            <w:r>
              <w:rPr>
                <w:rFonts w:hint="eastAsia" w:ascii="宋体" w:hAnsi="宋体" w:cs="宋体"/>
                <w:b/>
                <w:bCs/>
                <w:szCs w:val="21"/>
              </w:rPr>
              <w:t>自检内容</w:t>
            </w:r>
          </w:p>
        </w:tc>
        <w:tc>
          <w:tcPr>
            <w:tcW w:w="1073" w:type="dxa"/>
            <w:tcMar>
              <w:left w:w="57" w:type="dxa"/>
              <w:right w:w="57" w:type="dxa"/>
            </w:tcMar>
            <w:vAlign w:val="center"/>
          </w:tcPr>
          <w:p>
            <w:pPr>
              <w:adjustRightInd w:val="0"/>
              <w:snapToGrid w:val="0"/>
              <w:jc w:val="center"/>
              <w:rPr>
                <w:rFonts w:hint="eastAsia" w:ascii="宋体" w:hAnsi="宋体" w:cs="宋体"/>
                <w:b/>
                <w:bCs/>
                <w:szCs w:val="21"/>
              </w:rPr>
            </w:pPr>
            <w:r>
              <w:rPr>
                <w:rFonts w:hint="eastAsia" w:ascii="宋体" w:hAnsi="宋体" w:cs="宋体"/>
                <w:b/>
                <w:bCs/>
                <w:szCs w:val="21"/>
              </w:rPr>
              <w:t>自检结果</w:t>
            </w:r>
          </w:p>
        </w:tc>
        <w:tc>
          <w:tcPr>
            <w:tcW w:w="1073" w:type="dxa"/>
            <w:tcMar>
              <w:left w:w="57" w:type="dxa"/>
              <w:right w:w="57" w:type="dxa"/>
            </w:tcMar>
            <w:vAlign w:val="center"/>
          </w:tcPr>
          <w:p>
            <w:pPr>
              <w:adjustRightInd w:val="0"/>
              <w:snapToGrid w:val="0"/>
              <w:jc w:val="center"/>
              <w:rPr>
                <w:rFonts w:hint="eastAsia" w:ascii="宋体" w:hAnsi="宋体" w:eastAsia="宋体" w:cs="宋体"/>
                <w:b/>
                <w:bCs/>
                <w:szCs w:val="21"/>
                <w:lang w:eastAsia="zh-CN"/>
              </w:rPr>
            </w:pPr>
            <w:r>
              <w:rPr>
                <w:rFonts w:hint="eastAsia" w:ascii="宋体" w:hAnsi="宋体" w:cs="宋体"/>
                <w:b/>
                <w:bCs/>
                <w:szCs w:val="21"/>
                <w:lang w:eastAsia="zh-CN"/>
              </w:rPr>
              <w:t>自检结论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04" w:hRule="atLeast"/>
          <w:jc w:val="center"/>
        </w:trPr>
        <w:tc>
          <w:tcPr>
            <w:tcW w:w="456" w:type="dxa"/>
            <w:vMerge w:val="restart"/>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restart"/>
            <w:vAlign w:val="top"/>
          </w:tcPr>
          <w:p>
            <w:pPr>
              <w:adjustRightInd w:val="0"/>
              <w:snapToGrid w:val="0"/>
              <w:jc w:val="left"/>
              <w:rPr>
                <w:rFonts w:hint="eastAsia" w:ascii="宋体" w:hAnsi="宋体" w:cs="宋体"/>
                <w:szCs w:val="21"/>
              </w:rPr>
            </w:pPr>
            <w:r>
              <w:rPr>
                <w:rFonts w:hint="eastAsia" w:ascii="宋体" w:hAnsi="宋体" w:cs="宋体"/>
                <w:szCs w:val="21"/>
              </w:rPr>
              <w:t>1.</w:t>
            </w:r>
          </w:p>
          <w:p>
            <w:pPr>
              <w:adjustRightInd w:val="0"/>
              <w:snapToGrid w:val="0"/>
              <w:jc w:val="left"/>
              <w:rPr>
                <w:rFonts w:hint="eastAsia" w:ascii="宋体" w:hAnsi="宋体" w:cs="宋体"/>
                <w:szCs w:val="21"/>
              </w:rPr>
            </w:pPr>
            <w:r>
              <w:rPr>
                <w:rFonts w:hint="eastAsia" w:ascii="宋体" w:hAnsi="宋体" w:cs="宋体"/>
                <w:szCs w:val="21"/>
              </w:rPr>
              <w:t>技术资料审查</w:t>
            </w:r>
          </w:p>
        </w:tc>
        <w:tc>
          <w:tcPr>
            <w:tcW w:w="993" w:type="dxa"/>
            <w:vMerge w:val="restart"/>
            <w:vAlign w:val="center"/>
          </w:tcPr>
          <w:p>
            <w:pPr>
              <w:adjustRightInd w:val="0"/>
              <w:snapToGrid w:val="0"/>
              <w:jc w:val="left"/>
              <w:rPr>
                <w:rFonts w:hint="eastAsia" w:ascii="宋体" w:hAnsi="宋体" w:cs="宋体"/>
                <w:szCs w:val="21"/>
              </w:rPr>
            </w:pPr>
            <w:r>
              <w:rPr>
                <w:rFonts w:hint="eastAsia" w:ascii="宋体" w:hAnsi="宋体" w:cs="宋体"/>
                <w:szCs w:val="21"/>
              </w:rPr>
              <w:t>1.1使用资料审查</w:t>
            </w:r>
          </w:p>
        </w:tc>
        <w:tc>
          <w:tcPr>
            <w:tcW w:w="5670" w:type="dxa"/>
            <w:vAlign w:val="center"/>
          </w:tcPr>
          <w:p>
            <w:pPr>
              <w:pStyle w:val="19"/>
              <w:spacing w:line="240" w:lineRule="auto"/>
              <w:ind w:firstLine="0"/>
              <w:jc w:val="both"/>
              <w:rPr>
                <w:rFonts w:hint="eastAsia"/>
                <w:bCs/>
                <w:lang w:eastAsia="zh-CN"/>
              </w:rPr>
            </w:pPr>
            <w:r>
              <w:rPr>
                <w:rFonts w:hint="eastAsia"/>
                <w:bCs/>
                <w:lang w:eastAsia="zh-CN"/>
              </w:rPr>
              <w:t>1.1.1上一周期的定期检验报告</w:t>
            </w:r>
            <w:bookmarkStart w:id="0" w:name="bookmark335"/>
            <w:bookmarkEnd w:id="0"/>
            <w:bookmarkStart w:id="1" w:name="bookmark336"/>
            <w:bookmarkEnd w:id="1"/>
            <w:bookmarkStart w:id="2" w:name="bookmark334"/>
            <w:bookmarkEnd w:id="2"/>
          </w:p>
        </w:tc>
        <w:tc>
          <w:tcPr>
            <w:tcW w:w="1073" w:type="dxa"/>
            <w:vAlign w:val="center"/>
          </w:tcPr>
          <w:p>
            <w:pPr>
              <w:adjustRightInd w:val="0"/>
              <w:snapToGrid w:val="0"/>
              <w:jc w:val="center"/>
              <w:rPr>
                <w:rFonts w:hint="eastAsia" w:ascii="宋体" w:hAnsi="宋体" w:cs="宋体"/>
                <w:szCs w:val="21"/>
              </w:rPr>
            </w:pPr>
          </w:p>
        </w:tc>
        <w:tc>
          <w:tcPr>
            <w:tcW w:w="1073" w:type="dxa"/>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11" w:hRule="atLeast"/>
          <w:jc w:val="center"/>
        </w:trPr>
        <w:tc>
          <w:tcPr>
            <w:tcW w:w="456" w:type="dxa"/>
            <w:vMerge w:val="continue"/>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vAlign w:val="top"/>
          </w:tcPr>
          <w:p>
            <w:pPr>
              <w:adjustRightInd w:val="0"/>
              <w:snapToGrid w:val="0"/>
              <w:jc w:val="left"/>
              <w:rPr>
                <w:rFonts w:hint="eastAsia" w:ascii="宋体" w:hAnsi="宋体" w:cs="宋体"/>
                <w:szCs w:val="21"/>
              </w:rPr>
            </w:pPr>
          </w:p>
        </w:tc>
        <w:tc>
          <w:tcPr>
            <w:tcW w:w="993" w:type="dxa"/>
            <w:vMerge w:val="continue"/>
            <w:vAlign w:val="center"/>
          </w:tcPr>
          <w:p>
            <w:pPr>
              <w:adjustRightInd w:val="0"/>
              <w:snapToGrid w:val="0"/>
              <w:jc w:val="left"/>
              <w:rPr>
                <w:rFonts w:hint="eastAsia" w:ascii="宋体" w:hAnsi="宋体" w:cs="宋体"/>
                <w:szCs w:val="21"/>
              </w:rPr>
            </w:pPr>
          </w:p>
        </w:tc>
        <w:tc>
          <w:tcPr>
            <w:tcW w:w="5670" w:type="dxa"/>
            <w:vAlign w:val="center"/>
          </w:tcPr>
          <w:p>
            <w:pPr>
              <w:pStyle w:val="19"/>
              <w:spacing w:line="240" w:lineRule="auto"/>
              <w:ind w:firstLine="0"/>
              <w:jc w:val="both"/>
              <w:rPr>
                <w:rFonts w:hint="eastAsia"/>
                <w:bCs/>
                <w:lang w:eastAsia="zh-CN"/>
              </w:rPr>
            </w:pPr>
            <w:r>
              <w:rPr>
                <w:rFonts w:hint="eastAsia"/>
                <w:bCs/>
                <w:lang w:eastAsia="zh-CN"/>
              </w:rPr>
              <w:t>1.1.2最近一次的自行检查记录或者报告</w:t>
            </w:r>
          </w:p>
        </w:tc>
        <w:tc>
          <w:tcPr>
            <w:tcW w:w="1073" w:type="dxa"/>
            <w:vAlign w:val="center"/>
          </w:tcPr>
          <w:p>
            <w:pPr>
              <w:adjustRightInd w:val="0"/>
              <w:snapToGrid w:val="0"/>
              <w:jc w:val="center"/>
              <w:rPr>
                <w:rFonts w:hint="eastAsia" w:ascii="宋体" w:hAnsi="宋体" w:cs="宋体"/>
                <w:szCs w:val="21"/>
              </w:rPr>
            </w:pPr>
          </w:p>
        </w:tc>
        <w:tc>
          <w:tcPr>
            <w:tcW w:w="1073" w:type="dxa"/>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31" w:hRule="atLeast"/>
          <w:jc w:val="center"/>
        </w:trPr>
        <w:tc>
          <w:tcPr>
            <w:tcW w:w="456" w:type="dxa"/>
            <w:vMerge w:val="continue"/>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vAlign w:val="top"/>
          </w:tcPr>
          <w:p>
            <w:pPr>
              <w:adjustRightInd w:val="0"/>
              <w:snapToGrid w:val="0"/>
              <w:jc w:val="left"/>
              <w:rPr>
                <w:rFonts w:hint="eastAsia" w:ascii="宋体" w:hAnsi="宋体" w:cs="宋体"/>
                <w:szCs w:val="21"/>
              </w:rPr>
            </w:pPr>
          </w:p>
        </w:tc>
        <w:tc>
          <w:tcPr>
            <w:tcW w:w="993" w:type="dxa"/>
            <w:vMerge w:val="continue"/>
            <w:vAlign w:val="center"/>
          </w:tcPr>
          <w:p>
            <w:pPr>
              <w:adjustRightInd w:val="0"/>
              <w:snapToGrid w:val="0"/>
              <w:jc w:val="left"/>
              <w:rPr>
                <w:rFonts w:hint="eastAsia" w:ascii="宋体" w:hAnsi="宋体" w:cs="宋体"/>
                <w:szCs w:val="21"/>
              </w:rPr>
            </w:pPr>
          </w:p>
        </w:tc>
        <w:tc>
          <w:tcPr>
            <w:tcW w:w="5670" w:type="dxa"/>
            <w:vAlign w:val="center"/>
          </w:tcPr>
          <w:p>
            <w:pPr>
              <w:pStyle w:val="19"/>
              <w:spacing w:line="240" w:lineRule="auto"/>
              <w:ind w:firstLine="0"/>
              <w:jc w:val="both"/>
              <w:rPr>
                <w:rFonts w:hint="eastAsia"/>
                <w:bCs/>
                <w:lang w:eastAsia="zh-CN"/>
              </w:rPr>
            </w:pPr>
            <w:r>
              <w:rPr>
                <w:rFonts w:hint="eastAsia"/>
                <w:bCs/>
                <w:lang w:eastAsia="zh-CN"/>
              </w:rPr>
              <w:t>1.1.3场车使用记录、维护保养记录、运行故障和事故记录</w:t>
            </w:r>
          </w:p>
        </w:tc>
        <w:tc>
          <w:tcPr>
            <w:tcW w:w="1073" w:type="dxa"/>
            <w:vAlign w:val="center"/>
          </w:tcPr>
          <w:p>
            <w:pPr>
              <w:adjustRightInd w:val="0"/>
              <w:snapToGrid w:val="0"/>
              <w:jc w:val="center"/>
              <w:rPr>
                <w:rFonts w:hint="eastAsia" w:ascii="宋体" w:hAnsi="宋体" w:cs="宋体"/>
                <w:szCs w:val="21"/>
              </w:rPr>
            </w:pPr>
          </w:p>
        </w:tc>
        <w:tc>
          <w:tcPr>
            <w:tcW w:w="1073" w:type="dxa"/>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31" w:hRule="atLeast"/>
          <w:jc w:val="center"/>
        </w:trPr>
        <w:tc>
          <w:tcPr>
            <w:tcW w:w="456" w:type="dxa"/>
            <w:vMerge w:val="continue"/>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vAlign w:val="top"/>
          </w:tcPr>
          <w:p>
            <w:pPr>
              <w:adjustRightInd w:val="0"/>
              <w:snapToGrid w:val="0"/>
              <w:jc w:val="left"/>
              <w:rPr>
                <w:rFonts w:hint="eastAsia" w:ascii="宋体" w:hAnsi="宋体" w:cs="宋体"/>
                <w:szCs w:val="21"/>
              </w:rPr>
            </w:pPr>
          </w:p>
        </w:tc>
        <w:tc>
          <w:tcPr>
            <w:tcW w:w="993" w:type="dxa"/>
            <w:vMerge w:val="continue"/>
            <w:vAlign w:val="center"/>
          </w:tcPr>
          <w:p>
            <w:pPr>
              <w:adjustRightInd w:val="0"/>
              <w:snapToGrid w:val="0"/>
              <w:jc w:val="left"/>
              <w:rPr>
                <w:rFonts w:hint="eastAsia" w:ascii="宋体" w:hAnsi="宋体" w:cs="宋体"/>
                <w:szCs w:val="21"/>
              </w:rPr>
            </w:pPr>
          </w:p>
        </w:tc>
        <w:tc>
          <w:tcPr>
            <w:tcW w:w="5670" w:type="dxa"/>
            <w:vAlign w:val="center"/>
          </w:tcPr>
          <w:p>
            <w:pPr>
              <w:pStyle w:val="19"/>
              <w:spacing w:line="240" w:lineRule="auto"/>
              <w:ind w:firstLine="0"/>
              <w:jc w:val="both"/>
              <w:rPr>
                <w:rFonts w:hint="eastAsia"/>
                <w:bCs/>
                <w:lang w:eastAsia="zh-CN"/>
              </w:rPr>
            </w:pPr>
            <w:r>
              <w:rPr>
                <w:rFonts w:hint="eastAsia"/>
                <w:bCs/>
                <w:lang w:eastAsia="zh-CN"/>
              </w:rPr>
              <w:t>1.1.4</w:t>
            </w:r>
            <w:r>
              <w:rPr>
                <w:bCs/>
                <w:lang w:eastAsia="zh-CN"/>
              </w:rPr>
              <w:t>本周期内修理的自检报告、相关技术资料、修理单位的生产许可证(如涉及)</w:t>
            </w:r>
          </w:p>
        </w:tc>
        <w:tc>
          <w:tcPr>
            <w:tcW w:w="1073" w:type="dxa"/>
            <w:vAlign w:val="center"/>
          </w:tcPr>
          <w:p>
            <w:pPr>
              <w:adjustRightInd w:val="0"/>
              <w:snapToGrid w:val="0"/>
              <w:jc w:val="center"/>
              <w:rPr>
                <w:rFonts w:hint="eastAsia" w:ascii="宋体" w:hAnsi="宋体" w:cs="宋体"/>
                <w:szCs w:val="21"/>
              </w:rPr>
            </w:pPr>
          </w:p>
        </w:tc>
        <w:tc>
          <w:tcPr>
            <w:tcW w:w="1073" w:type="dxa"/>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81"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restart"/>
            <w:tcMar>
              <w:left w:w="57" w:type="dxa"/>
              <w:right w:w="57" w:type="dxa"/>
            </w:tcMar>
            <w:vAlign w:val="center"/>
          </w:tcPr>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r>
              <w:rPr>
                <w:rFonts w:hint="eastAsia" w:ascii="宋体" w:hAnsi="宋体" w:cs="宋体"/>
                <w:szCs w:val="21"/>
              </w:rPr>
              <w:t>2</w:t>
            </w:r>
          </w:p>
          <w:p>
            <w:pPr>
              <w:adjustRightInd w:val="0"/>
              <w:snapToGrid w:val="0"/>
              <w:jc w:val="left"/>
              <w:rPr>
                <w:rFonts w:hint="eastAsia" w:ascii="宋体" w:hAnsi="宋体" w:cs="宋体"/>
                <w:szCs w:val="21"/>
              </w:rPr>
            </w:pPr>
            <w:r>
              <w:rPr>
                <w:rFonts w:hint="eastAsia" w:ascii="宋体" w:hAnsi="宋体" w:cs="宋体"/>
                <w:szCs w:val="21"/>
              </w:rPr>
              <w:t>检查</w:t>
            </w: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r>
              <w:rPr>
                <w:rFonts w:hint="eastAsia" w:ascii="宋体" w:hAnsi="宋体" w:cs="宋体"/>
                <w:szCs w:val="21"/>
              </w:rPr>
              <w:t>2</w:t>
            </w:r>
          </w:p>
          <w:p>
            <w:pPr>
              <w:adjustRightInd w:val="0"/>
              <w:snapToGrid w:val="0"/>
              <w:jc w:val="left"/>
              <w:rPr>
                <w:rFonts w:hint="eastAsia" w:ascii="宋体" w:hAnsi="宋体" w:cs="宋体"/>
                <w:szCs w:val="21"/>
              </w:rPr>
            </w:pPr>
            <w:r>
              <w:rPr>
                <w:rFonts w:hint="eastAsia" w:ascii="宋体" w:hAnsi="宋体" w:cs="宋体"/>
                <w:szCs w:val="21"/>
              </w:rPr>
              <w:t>检查</w:t>
            </w: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r>
              <w:rPr>
                <w:rFonts w:hint="eastAsia" w:ascii="宋体" w:hAnsi="宋体" w:cs="宋体"/>
                <w:szCs w:val="21"/>
              </w:rPr>
              <w:t>2</w:t>
            </w:r>
          </w:p>
          <w:p>
            <w:pPr>
              <w:adjustRightInd w:val="0"/>
              <w:snapToGrid w:val="0"/>
              <w:jc w:val="left"/>
              <w:rPr>
                <w:rFonts w:hint="eastAsia" w:ascii="宋体" w:hAnsi="宋体" w:cs="宋体"/>
                <w:szCs w:val="21"/>
              </w:rPr>
            </w:pPr>
            <w:r>
              <w:rPr>
                <w:rFonts w:hint="eastAsia" w:ascii="宋体" w:hAnsi="宋体" w:cs="宋体"/>
                <w:szCs w:val="21"/>
              </w:rPr>
              <w:t>检查</w:t>
            </w: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r>
              <w:rPr>
                <w:rFonts w:hint="eastAsia" w:ascii="宋体" w:hAnsi="宋体" w:cs="宋体"/>
                <w:szCs w:val="21"/>
              </w:rPr>
              <w:t>2</w:t>
            </w:r>
          </w:p>
          <w:p>
            <w:pPr>
              <w:adjustRightInd w:val="0"/>
              <w:snapToGrid w:val="0"/>
              <w:jc w:val="left"/>
              <w:rPr>
                <w:rFonts w:hint="eastAsia" w:ascii="宋体" w:hAnsi="宋体" w:cs="宋体"/>
                <w:szCs w:val="21"/>
              </w:rPr>
            </w:pPr>
            <w:r>
              <w:rPr>
                <w:rFonts w:hint="eastAsia" w:ascii="宋体" w:hAnsi="宋体" w:cs="宋体"/>
                <w:szCs w:val="21"/>
              </w:rPr>
              <w:t>检查</w:t>
            </w: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r>
              <w:rPr>
                <w:rFonts w:hint="eastAsia" w:ascii="宋体" w:hAnsi="宋体" w:cs="宋体"/>
                <w:szCs w:val="21"/>
              </w:rPr>
              <w:t>2</w:t>
            </w:r>
          </w:p>
          <w:p>
            <w:pPr>
              <w:adjustRightInd w:val="0"/>
              <w:snapToGrid w:val="0"/>
              <w:jc w:val="left"/>
              <w:rPr>
                <w:rFonts w:hint="eastAsia" w:ascii="宋体" w:hAnsi="宋体" w:cs="宋体"/>
                <w:szCs w:val="21"/>
              </w:rPr>
            </w:pPr>
            <w:r>
              <w:rPr>
                <w:rFonts w:hint="eastAsia" w:ascii="宋体" w:hAnsi="宋体" w:cs="宋体"/>
                <w:szCs w:val="21"/>
              </w:rPr>
              <w:t>检查</w:t>
            </w:r>
          </w:p>
          <w:p>
            <w:pPr>
              <w:adjustRightInd w:val="0"/>
              <w:snapToGrid w:val="0"/>
              <w:jc w:val="left"/>
              <w:rPr>
                <w:rFonts w:hint="eastAsia" w:ascii="宋体" w:hAnsi="宋体" w:cs="宋体"/>
                <w:szCs w:val="21"/>
              </w:rPr>
            </w:pPr>
          </w:p>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2.1</w:t>
            </w:r>
          </w:p>
          <w:p>
            <w:pPr>
              <w:adjustRightInd w:val="0"/>
              <w:snapToGrid w:val="0"/>
              <w:jc w:val="left"/>
              <w:rPr>
                <w:rFonts w:hint="eastAsia" w:ascii="宋体" w:hAnsi="宋体" w:cs="宋体"/>
                <w:szCs w:val="21"/>
              </w:rPr>
            </w:pPr>
            <w:r>
              <w:rPr>
                <w:rFonts w:hint="eastAsia" w:ascii="宋体" w:hAnsi="宋体" w:cs="宋体"/>
                <w:szCs w:val="21"/>
              </w:rPr>
              <w:t>结构型式检查与整车工作性能</w:t>
            </w:r>
          </w:p>
        </w:tc>
        <w:tc>
          <w:tcPr>
            <w:tcW w:w="5670" w:type="dxa"/>
            <w:vAlign w:val="center"/>
          </w:tcPr>
          <w:p>
            <w:pPr>
              <w:pStyle w:val="19"/>
              <w:spacing w:line="240" w:lineRule="auto"/>
              <w:ind w:firstLine="0"/>
              <w:jc w:val="both"/>
              <w:rPr>
                <w:rFonts w:hint="eastAsia"/>
                <w:bCs/>
                <w:lang w:eastAsia="zh-CN"/>
              </w:rPr>
            </w:pPr>
            <w:r>
              <w:rPr>
                <w:rFonts w:hint="eastAsia"/>
                <w:bCs/>
                <w:lang w:eastAsia="zh-CN"/>
              </w:rPr>
              <w:t>2.1.1</w:t>
            </w:r>
            <w:r>
              <w:rPr>
                <w:bCs/>
                <w:lang w:eastAsia="zh-CN"/>
              </w:rPr>
              <w:t>检查车辆的主参数、主要结构型式与技术资料的描述是否一致</w:t>
            </w:r>
          </w:p>
        </w:tc>
        <w:tc>
          <w:tcPr>
            <w:tcW w:w="1073" w:type="dxa"/>
            <w:vAlign w:val="center"/>
          </w:tcPr>
          <w:p>
            <w:pPr>
              <w:adjustRightInd w:val="0"/>
              <w:snapToGrid w:val="0"/>
              <w:jc w:val="center"/>
              <w:rPr>
                <w:rFonts w:hint="eastAsia" w:ascii="宋体" w:hAnsi="宋体" w:cs="宋体"/>
                <w:szCs w:val="21"/>
              </w:rPr>
            </w:pPr>
          </w:p>
        </w:tc>
        <w:tc>
          <w:tcPr>
            <w:tcW w:w="1073" w:type="dxa"/>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47"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vAlign w:val="center"/>
          </w:tcPr>
          <w:p>
            <w:pPr>
              <w:pStyle w:val="19"/>
              <w:spacing w:line="240" w:lineRule="auto"/>
              <w:ind w:firstLine="0"/>
              <w:jc w:val="both"/>
              <w:rPr>
                <w:rFonts w:hint="eastAsia"/>
                <w:bCs/>
                <w:lang w:eastAsia="zh-CN"/>
              </w:rPr>
            </w:pPr>
            <w:r>
              <w:rPr>
                <w:rFonts w:hint="eastAsia"/>
                <w:bCs/>
                <w:lang w:eastAsia="zh-CN"/>
              </w:rPr>
              <w:t>2</w:t>
            </w:r>
            <w:r>
              <w:rPr>
                <w:bCs/>
                <w:lang w:eastAsia="zh-CN"/>
              </w:rPr>
              <w:t>.1.2</w:t>
            </w:r>
            <w:r>
              <w:rPr>
                <w:rFonts w:hint="eastAsia"/>
                <w:bCs/>
                <w:lang w:eastAsia="zh-CN"/>
              </w:rPr>
              <w:t>整车工作性能应符合使用管理要求</w:t>
            </w:r>
          </w:p>
        </w:tc>
        <w:tc>
          <w:tcPr>
            <w:tcW w:w="1073" w:type="dxa"/>
            <w:vAlign w:val="center"/>
          </w:tcPr>
          <w:p>
            <w:pPr>
              <w:adjustRightInd w:val="0"/>
              <w:snapToGrid w:val="0"/>
              <w:jc w:val="center"/>
              <w:rPr>
                <w:rFonts w:hint="eastAsia" w:ascii="宋体" w:hAnsi="宋体" w:cs="宋体"/>
                <w:szCs w:val="21"/>
              </w:rPr>
            </w:pPr>
          </w:p>
        </w:tc>
        <w:tc>
          <w:tcPr>
            <w:tcW w:w="1073" w:type="dxa"/>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27"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2.2</w:t>
            </w:r>
          </w:p>
          <w:p>
            <w:pPr>
              <w:adjustRightInd w:val="0"/>
              <w:snapToGrid w:val="0"/>
              <w:jc w:val="left"/>
              <w:rPr>
                <w:rFonts w:hint="eastAsia" w:ascii="宋体" w:hAnsi="宋体" w:cs="宋体"/>
                <w:szCs w:val="21"/>
              </w:rPr>
            </w:pPr>
            <w:r>
              <w:rPr>
                <w:rFonts w:hint="eastAsia" w:ascii="宋体" w:hAnsi="宋体" w:cs="宋体"/>
                <w:szCs w:val="21"/>
              </w:rPr>
              <w:t>整车外观检查</w:t>
            </w: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2.2.1车架易见部位应当有清晰的永久编号，且与有关资料一致</w:t>
            </w:r>
            <w:bookmarkStart w:id="3" w:name="bookmark342"/>
            <w:bookmarkEnd w:id="3"/>
            <w:bookmarkStart w:id="4" w:name="bookmark344"/>
            <w:bookmarkEnd w:id="4"/>
            <w:bookmarkStart w:id="5" w:name="bookmark345"/>
            <w:bookmarkEnd w:id="5"/>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25"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2.2.2防爆功能的叉车应当在明显部位设置和车辆体积和适合的永久性</w:t>
            </w:r>
            <w:r>
              <w:rPr>
                <w:bCs/>
                <w:lang w:eastAsia="zh-CN"/>
              </w:rPr>
              <w:t>“Ex”</w:t>
            </w:r>
            <w:r>
              <w:rPr>
                <w:rFonts w:hint="eastAsia"/>
                <w:bCs/>
                <w:lang w:eastAsia="zh-CN"/>
              </w:rPr>
              <w:t>标志和使用说明牌</w:t>
            </w:r>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25"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2.2.3仪表或者指示器应当指</w:t>
            </w:r>
            <w:r>
              <w:rPr>
                <w:bCs/>
                <w:lang w:eastAsia="zh-CN"/>
              </w:rPr>
              <w:t>(</w:t>
            </w:r>
            <w:r>
              <w:rPr>
                <w:rFonts w:hint="eastAsia"/>
                <w:bCs/>
                <w:lang w:eastAsia="zh-CN"/>
              </w:rPr>
              <w:t>显</w:t>
            </w:r>
            <w:r>
              <w:rPr>
                <w:bCs/>
                <w:lang w:eastAsia="zh-CN"/>
              </w:rPr>
              <w:t>)</w:t>
            </w:r>
            <w:r>
              <w:rPr>
                <w:rFonts w:hint="eastAsia"/>
                <w:bCs/>
                <w:lang w:eastAsia="zh-CN"/>
              </w:rPr>
              <w:t>示清晰醒目、灵敏有效</w:t>
            </w:r>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25"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2.2.4车身应当周正，各部件齐全、完整，连接紧固，无缺损</w:t>
            </w:r>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25"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2.2.5</w:t>
            </w:r>
            <w:r>
              <w:rPr>
                <w:bCs/>
                <w:lang w:eastAsia="zh-CN"/>
              </w:rPr>
              <w:t>应当将车牌固定在车辆明</w:t>
            </w:r>
            <w:r>
              <w:rPr>
                <w:rFonts w:hint="eastAsia"/>
                <w:bCs/>
                <w:lang w:eastAsia="zh-CN"/>
              </w:rPr>
              <w:t>显</w:t>
            </w:r>
            <w:r>
              <w:rPr>
                <w:bCs/>
                <w:lang w:eastAsia="zh-CN"/>
              </w:rPr>
              <w:t>部</w:t>
            </w:r>
            <w:r>
              <w:rPr>
                <w:rFonts w:hint="eastAsia"/>
                <w:bCs/>
                <w:lang w:eastAsia="zh-CN"/>
              </w:rPr>
              <w:t>位，</w:t>
            </w:r>
            <w:r>
              <w:rPr>
                <w:bCs/>
                <w:lang w:eastAsia="zh-CN"/>
              </w:rPr>
              <w:t>车牌编号与使用登记信息一致</w:t>
            </w:r>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c>
          <w:tcPr>
            <w:tcW w:w="1073" w:type="dxa"/>
            <w:tcMar>
              <w:left w:w="57" w:type="dxa"/>
              <w:right w:w="57" w:type="dxa"/>
            </w:tcMar>
            <w:vAlign w:val="center"/>
          </w:tcPr>
          <w:p>
            <w:pPr>
              <w:pStyle w:val="9"/>
              <w:spacing w:before="0" w:beforeAutospacing="0" w:after="0" w:afterAutospacing="0"/>
              <w:jc w:val="center"/>
              <w:rPr>
                <w:rFonts w:hint="eastAsia"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20"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2.3</w:t>
            </w:r>
          </w:p>
          <w:p>
            <w:pPr>
              <w:adjustRightInd w:val="0"/>
              <w:snapToGrid w:val="0"/>
              <w:jc w:val="left"/>
              <w:rPr>
                <w:rFonts w:hint="eastAsia" w:ascii="宋体" w:hAnsi="宋体" w:cs="宋体"/>
                <w:szCs w:val="21"/>
              </w:rPr>
            </w:pPr>
            <w:r>
              <w:rPr>
                <w:rFonts w:hint="eastAsia" w:ascii="宋体" w:hAnsi="宋体" w:cs="宋体"/>
                <w:szCs w:val="21"/>
              </w:rPr>
              <w:t>主要受力结构件检查</w:t>
            </w: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2.3.1</w:t>
            </w:r>
            <w:r>
              <w:rPr>
                <w:bCs/>
                <w:lang w:eastAsia="zh-CN"/>
              </w:rPr>
              <w:t>主要受力结构件的焊缝外部宏观检查，不得有可见的漏焊、裂纹、烧穿、严重咬边等缺陷</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86"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2.3.2</w:t>
            </w:r>
            <w:r>
              <w:rPr>
                <w:bCs/>
                <w:lang w:eastAsia="zh-CN"/>
              </w:rPr>
              <w:t>主要受力结构件应当无明显变形、裂纹和锈蚀，螺栓等连接件不应当缺少和松动</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355" w:hRule="atLeast"/>
          <w:jc w:val="center"/>
        </w:trPr>
        <w:tc>
          <w:tcPr>
            <w:tcW w:w="456" w:type="dxa"/>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w:t>
            </w:r>
            <w:r>
              <w:rPr>
                <w:bCs/>
                <w:lang w:eastAsia="zh-CN"/>
              </w:rPr>
              <w:t>.3.3</w:t>
            </w:r>
            <w:r>
              <w:rPr>
                <w:rFonts w:hint="eastAsia"/>
                <w:bCs/>
                <w:lang w:eastAsia="zh-CN"/>
              </w:rPr>
              <w:t>焊缝、铆钉、螺栓等连接应牢固可靠。</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347"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2.4</w:t>
            </w:r>
          </w:p>
          <w:p>
            <w:pPr>
              <w:adjustRightInd w:val="0"/>
              <w:snapToGrid w:val="0"/>
              <w:jc w:val="left"/>
              <w:rPr>
                <w:rFonts w:hint="eastAsia" w:ascii="宋体" w:hAnsi="宋体" w:cs="宋体"/>
                <w:szCs w:val="21"/>
              </w:rPr>
            </w:pPr>
            <w:r>
              <w:t>铭牌和安全标志检査</w:t>
            </w: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2.4.1</w:t>
            </w:r>
            <w:r>
              <w:rPr>
                <w:bCs/>
                <w:lang w:eastAsia="zh-CN"/>
              </w:rPr>
              <w:t>铭牌、载荷曲线、安全标志应当符合本规程的要求</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12"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2.4.2</w:t>
            </w:r>
            <w:r>
              <w:rPr>
                <w:bCs/>
                <w:lang w:eastAsia="zh-CN"/>
              </w:rPr>
              <w:t>铭牌、载荷曲线、安全标志应当置于叉车的显著位置，并且保持清晰</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62"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2.5</w:t>
            </w:r>
          </w:p>
          <w:p>
            <w:pPr>
              <w:adjustRightInd w:val="0"/>
              <w:snapToGrid w:val="0"/>
              <w:jc w:val="left"/>
              <w:rPr>
                <w:rFonts w:hint="eastAsia" w:ascii="宋体" w:hAnsi="宋体" w:cs="宋体"/>
                <w:szCs w:val="21"/>
              </w:rPr>
            </w:pPr>
            <w:r>
              <w:rPr>
                <w:rFonts w:hint="eastAsia" w:ascii="宋体" w:hAnsi="宋体" w:cs="宋体"/>
                <w:szCs w:val="21"/>
              </w:rPr>
              <w:t>动力系统检查</w:t>
            </w: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2.5.1</w:t>
            </w:r>
            <w:r>
              <w:rPr>
                <w:bCs/>
                <w:lang w:eastAsia="zh-CN"/>
              </w:rPr>
              <w:t>动力源为蓄电池的叉车</w:t>
            </w:r>
            <w:r>
              <w:rPr>
                <w:rFonts w:hint="eastAsia"/>
                <w:bCs/>
                <w:lang w:eastAsia="zh-CN"/>
              </w:rPr>
              <w:t>，蓄电池</w:t>
            </w:r>
            <w:r>
              <w:rPr>
                <w:bCs/>
                <w:lang w:eastAsia="zh-CN"/>
              </w:rPr>
              <w:t>金属盖或者非金属盖的金属部件与蓄电池带电部分之间应当有30mm以上的间隙；若盖板和带电部分被有效绝缘，则其间隙至少有10mm</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58"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2.5.2</w:t>
            </w:r>
            <w:r>
              <w:rPr>
                <w:bCs/>
                <w:lang w:eastAsia="zh-CN"/>
              </w:rPr>
              <w:t>由于意外的</w:t>
            </w:r>
            <w:r>
              <w:rPr>
                <w:rFonts w:hint="eastAsia"/>
                <w:bCs/>
                <w:lang w:eastAsia="zh-CN"/>
              </w:rPr>
              <w:t>关闭会造</w:t>
            </w:r>
            <w:r>
              <w:rPr>
                <w:bCs/>
                <w:lang w:eastAsia="zh-CN"/>
              </w:rPr>
              <w:t>成伤害的，应当在罩壳处（如牵引蓄电池或者发动机罩）设置防止意外关闭</w:t>
            </w:r>
            <w:r>
              <w:rPr>
                <w:rFonts w:hint="eastAsia"/>
                <w:bCs/>
                <w:lang w:eastAsia="zh-CN"/>
              </w:rPr>
              <w:t>的</w:t>
            </w:r>
            <w:r>
              <w:rPr>
                <w:bCs/>
                <w:lang w:eastAsia="zh-CN"/>
              </w:rPr>
              <w:t>装置，并且永久地固定在车辆上或者安装在车辆的安全处</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1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2.5.3</w:t>
            </w:r>
            <w:r>
              <w:rPr>
                <w:bCs/>
                <w:lang w:eastAsia="zh-CN"/>
              </w:rPr>
              <w:t>发动机（行走电机）应当运转平稳，无异响，能正常启动、熄火（关闭）</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08"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2.5.4</w:t>
            </w:r>
            <w:r>
              <w:rPr>
                <w:bCs/>
                <w:lang w:eastAsia="zh-CN"/>
              </w:rPr>
              <w:t>动力系统线路应当无漏电现象，管路应当无漏水、漏油现象</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60"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2.5.5</w:t>
            </w:r>
            <w:r>
              <w:rPr>
                <w:bCs/>
                <w:lang w:eastAsia="zh-CN"/>
              </w:rPr>
              <w:t>发动机（行走电机）的安装应当牢固可靠，连接部分无松动、脱落、损坏</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58"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2.5.6</w:t>
            </w:r>
            <w:r>
              <w:rPr>
                <w:bCs/>
                <w:lang w:eastAsia="zh-CN"/>
              </w:rPr>
              <w:t>车辆配置车用气瓶时，气瓶应当在检验有效期内</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56"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2.6</w:t>
            </w:r>
          </w:p>
          <w:p>
            <w:pPr>
              <w:adjustRightInd w:val="0"/>
              <w:snapToGrid w:val="0"/>
              <w:jc w:val="left"/>
              <w:rPr>
                <w:rFonts w:hint="eastAsia" w:ascii="宋体" w:hAnsi="宋体" w:cs="宋体"/>
                <w:szCs w:val="21"/>
              </w:rPr>
            </w:pPr>
            <w:r>
              <w:rPr>
                <w:rFonts w:hint="eastAsia" w:ascii="宋体" w:hAnsi="宋体" w:cs="宋体"/>
                <w:szCs w:val="21"/>
              </w:rPr>
              <w:t>传动系统检查</w:t>
            </w: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2.6.1静压传动叉车，只有处于制动状态时才能启动发动机</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56"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2.6.2机械传动和液力传动的内燃叉车，应当配备在传动装置处于接合状态时，能防止发动机启动的装置</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39"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2.6.3传动系统及其零部件运转平稳，不应当有异常声响</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56"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2.6.4变速箱不应当有自动脱挡、串挡现象，运行正常，倒挡可靠</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56"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2.6.5离合器应当分离彻底，接合平稳，工作时无异响、抖动和不正常打滑等现象</w:t>
            </w: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4"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2.7</w:t>
            </w:r>
          </w:p>
          <w:p>
            <w:pPr>
              <w:adjustRightInd w:val="0"/>
              <w:snapToGrid w:val="0"/>
              <w:jc w:val="left"/>
              <w:rPr>
                <w:rFonts w:hint="eastAsia" w:ascii="宋体" w:hAnsi="宋体" w:cs="宋体"/>
                <w:szCs w:val="21"/>
              </w:rPr>
            </w:pPr>
            <w:r>
              <w:rPr>
                <w:rFonts w:hint="eastAsia" w:ascii="宋体" w:hAnsi="宋体" w:cs="宋体"/>
                <w:szCs w:val="21"/>
              </w:rPr>
              <w:t>行驶系统检查</w:t>
            </w: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2.7.1同一轴上的轮胎规格和花纹应当相同</w:t>
            </w:r>
            <w:bookmarkStart w:id="6" w:name="bookmark372"/>
            <w:bookmarkEnd w:id="6"/>
            <w:bookmarkStart w:id="7" w:name="bookmark371"/>
            <w:bookmarkEnd w:id="7"/>
            <w:bookmarkStart w:id="8" w:name="bookmark373"/>
            <w:bookmarkEnd w:id="8"/>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2.7.2轮辋应当完整无损，螺栓、螺母应当齐全紧固</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2.7.3前后桥与车架的连接应当紧固</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104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2.7.4</w:t>
            </w:r>
            <w:r>
              <w:rPr>
                <w:bCs/>
                <w:lang w:eastAsia="zh-CN"/>
              </w:rPr>
              <w:t>充气轮胎胎面和胎壁应当无长度超过25mm或者深度足以暴露出轮胎帘布层的破裂和割伤；实心轮胎(包括工业脚轮和车轮轮胎)应当无胶层气泡和脱层、钢圈与胶层松脱等缺陷</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24" w:hRule="atLeast"/>
          <w:jc w:val="center"/>
        </w:trPr>
        <w:tc>
          <w:tcPr>
            <w:tcW w:w="456" w:type="dxa"/>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w:t>
            </w:r>
            <w:r>
              <w:rPr>
                <w:bCs/>
                <w:lang w:eastAsia="zh-CN"/>
              </w:rPr>
              <w:t>.7.5</w:t>
            </w:r>
            <w:r>
              <w:rPr>
                <w:rFonts w:hint="eastAsia"/>
                <w:bCs/>
                <w:lang w:eastAsia="zh-CN"/>
              </w:rPr>
              <w:t>充气轮胎气压应符合维护保养要求</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46"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2.8</w:t>
            </w:r>
          </w:p>
          <w:p>
            <w:pPr>
              <w:adjustRightInd w:val="0"/>
              <w:snapToGrid w:val="0"/>
              <w:jc w:val="left"/>
              <w:rPr>
                <w:rFonts w:hint="eastAsia" w:ascii="宋体" w:hAnsi="宋体" w:cs="宋体"/>
                <w:szCs w:val="21"/>
              </w:rPr>
            </w:pPr>
            <w:r>
              <w:rPr>
                <w:rFonts w:hint="eastAsia" w:ascii="宋体" w:hAnsi="宋体" w:cs="宋体"/>
                <w:szCs w:val="21"/>
              </w:rPr>
              <w:t>转向系统检查</w:t>
            </w:r>
          </w:p>
        </w:tc>
        <w:tc>
          <w:tcPr>
            <w:tcW w:w="5670" w:type="dxa"/>
            <w:tcBorders>
              <w:bottom w:val="single" w:color="auto" w:sz="4" w:space="0"/>
            </w:tcBorders>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2.8.1转向系统应当转动灵活、操纵方便、无卡滞，在任意转向操作时不得与其他部件有干涉</w:t>
            </w:r>
            <w:bookmarkStart w:id="9" w:name="bookmark375"/>
            <w:bookmarkEnd w:id="9"/>
            <w:bookmarkStart w:id="10" w:name="bookmark376"/>
            <w:bookmarkEnd w:id="10"/>
          </w:p>
        </w:tc>
        <w:tc>
          <w:tcPr>
            <w:tcW w:w="1073" w:type="dxa"/>
            <w:tcMar>
              <w:left w:w="57" w:type="dxa"/>
              <w:right w:w="57" w:type="dxa"/>
            </w:tcMar>
            <w:vAlign w:val="center"/>
          </w:tcPr>
          <w:p>
            <w:pPr>
              <w:spacing w:line="300" w:lineRule="exact"/>
              <w:jc w:val="center"/>
              <w:rPr>
                <w:rFonts w:hint="eastAsia" w:ascii="宋体" w:hAnsi="宋体" w:cs="宋体"/>
                <w:szCs w:val="21"/>
              </w:rPr>
            </w:pPr>
          </w:p>
        </w:tc>
        <w:tc>
          <w:tcPr>
            <w:tcW w:w="1073" w:type="dxa"/>
            <w:tcMar>
              <w:left w:w="57" w:type="dxa"/>
              <w:right w:w="57" w:type="dxa"/>
            </w:tcMar>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865"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Borders>
              <w:bottom w:val="single" w:color="auto" w:sz="4" w:space="0"/>
            </w:tcBorders>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2.8.2向前运行时，顺时针转动方向盘或者对转向控制装置的等同操作，应当使叉车右转，并且乘驾式叉车的控制装置应当被限制在叉车轮廓内</w:t>
            </w:r>
          </w:p>
        </w:tc>
        <w:tc>
          <w:tcPr>
            <w:tcW w:w="1073" w:type="dxa"/>
            <w:tcMar>
              <w:left w:w="57" w:type="dxa"/>
              <w:right w:w="57" w:type="dxa"/>
            </w:tcMar>
            <w:vAlign w:val="center"/>
          </w:tcPr>
          <w:p>
            <w:pPr>
              <w:spacing w:line="300" w:lineRule="exact"/>
              <w:jc w:val="center"/>
              <w:rPr>
                <w:rFonts w:hint="eastAsia" w:ascii="宋体" w:hAnsi="宋体" w:cs="宋体"/>
                <w:szCs w:val="21"/>
              </w:rPr>
            </w:pPr>
          </w:p>
        </w:tc>
        <w:tc>
          <w:tcPr>
            <w:tcW w:w="1073" w:type="dxa"/>
            <w:tcMar>
              <w:left w:w="57" w:type="dxa"/>
              <w:right w:w="57" w:type="dxa"/>
            </w:tcMar>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72"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Borders>
              <w:bottom w:val="single" w:color="auto" w:sz="4" w:space="0"/>
            </w:tcBorders>
            <w:tcMar>
              <w:left w:w="57" w:type="dxa"/>
              <w:right w:w="57" w:type="dxa"/>
            </w:tcMar>
            <w:vAlign w:val="center"/>
          </w:tcPr>
          <w:p>
            <w:pPr>
              <w:adjustRightInd w:val="0"/>
              <w:snapToGrid w:val="0"/>
              <w:jc w:val="left"/>
              <w:rPr>
                <w:rFonts w:hint="eastAsia" w:ascii="宋体" w:hAnsi="宋体" w:cs="宋体"/>
                <w:szCs w:val="21"/>
              </w:rPr>
            </w:pPr>
          </w:p>
        </w:tc>
        <w:tc>
          <w:tcPr>
            <w:tcW w:w="5670" w:type="dxa"/>
            <w:tcBorders>
              <w:bottom w:val="single" w:color="auto" w:sz="4" w:space="0"/>
            </w:tcBorders>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2.8.3</w:t>
            </w:r>
            <w:r>
              <w:rPr>
                <w:bCs/>
                <w:lang w:eastAsia="zh-CN"/>
              </w:rPr>
              <w:t>转向装置中的转向节臂，转向横、直</w:t>
            </w:r>
            <w:r>
              <w:rPr>
                <w:rFonts w:hint="eastAsia"/>
                <w:bCs/>
                <w:lang w:eastAsia="zh-CN"/>
              </w:rPr>
              <w:t>拉杆不</w:t>
            </w:r>
            <w:r>
              <w:rPr>
                <w:bCs/>
                <w:lang w:eastAsia="zh-CN"/>
              </w:rPr>
              <w:t>应当有裂纹、损伤，球销不应当松旷，转向油缸不应当有泄漏油现象</w:t>
            </w:r>
          </w:p>
        </w:tc>
        <w:tc>
          <w:tcPr>
            <w:tcW w:w="1073" w:type="dxa"/>
            <w:tcBorders>
              <w:bottom w:val="single" w:color="auto" w:sz="4" w:space="0"/>
            </w:tcBorders>
            <w:tcMar>
              <w:left w:w="57" w:type="dxa"/>
              <w:right w:w="57" w:type="dxa"/>
            </w:tcMar>
            <w:vAlign w:val="center"/>
          </w:tcPr>
          <w:p>
            <w:pPr>
              <w:spacing w:line="300" w:lineRule="exact"/>
              <w:jc w:val="center"/>
              <w:rPr>
                <w:rFonts w:hint="eastAsia" w:ascii="宋体" w:hAnsi="宋体" w:cs="宋体"/>
                <w:szCs w:val="21"/>
              </w:rPr>
            </w:pPr>
          </w:p>
        </w:tc>
        <w:tc>
          <w:tcPr>
            <w:tcW w:w="1073" w:type="dxa"/>
            <w:tcBorders>
              <w:bottom w:val="single" w:color="auto" w:sz="4" w:space="0"/>
            </w:tcBorders>
            <w:tcMar>
              <w:left w:w="57" w:type="dxa"/>
              <w:right w:w="57" w:type="dxa"/>
            </w:tcMar>
            <w:vAlign w:val="center"/>
          </w:tcPr>
          <w:p>
            <w:pPr>
              <w:spacing w:line="3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01"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2.9</w:t>
            </w:r>
          </w:p>
          <w:p>
            <w:pPr>
              <w:adjustRightInd w:val="0"/>
              <w:snapToGrid w:val="0"/>
              <w:jc w:val="left"/>
              <w:rPr>
                <w:rFonts w:hint="eastAsia" w:ascii="宋体" w:hAnsi="宋体" w:cs="宋体"/>
                <w:szCs w:val="21"/>
              </w:rPr>
            </w:pPr>
            <w:r>
              <w:rPr>
                <w:rFonts w:hint="eastAsia" w:ascii="宋体" w:hAnsi="宋体" w:cs="宋体"/>
                <w:szCs w:val="21"/>
              </w:rPr>
              <w:t>起升系统检查与液压系统检查</w:t>
            </w:r>
          </w:p>
        </w:tc>
        <w:tc>
          <w:tcPr>
            <w:tcW w:w="5670" w:type="dxa"/>
            <w:tcMar>
              <w:left w:w="57" w:type="dxa"/>
              <w:right w:w="57" w:type="dxa"/>
            </w:tcMar>
            <w:vAlign w:val="center"/>
          </w:tcPr>
          <w:p>
            <w:pPr>
              <w:pStyle w:val="19"/>
              <w:spacing w:line="240" w:lineRule="auto"/>
              <w:ind w:firstLine="0"/>
              <w:jc w:val="both"/>
              <w:rPr>
                <w:rFonts w:hint="eastAsia"/>
                <w:bCs/>
                <w:lang w:eastAsia="zh-CN"/>
              </w:rPr>
            </w:pPr>
            <w:bookmarkStart w:id="11" w:name="bookmark379"/>
            <w:bookmarkEnd w:id="11"/>
            <w:r>
              <w:rPr>
                <w:rFonts w:hint="eastAsia"/>
                <w:bCs/>
                <w:lang w:eastAsia="zh-CN"/>
              </w:rPr>
              <w:t>2</w:t>
            </w:r>
            <w:r>
              <w:rPr>
                <w:bCs/>
                <w:lang w:eastAsia="zh-CN"/>
              </w:rPr>
              <w:t>.9.1</w:t>
            </w:r>
            <w:r>
              <w:rPr>
                <w:rFonts w:hint="eastAsia"/>
                <w:bCs/>
                <w:lang w:eastAsia="zh-CN"/>
              </w:rPr>
              <w:t>门架与起升系统无变形、卡组等现象</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11"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2.9.</w:t>
            </w:r>
            <w:r>
              <w:rPr>
                <w:bCs/>
                <w:lang w:eastAsia="zh-CN"/>
              </w:rPr>
              <w:t>2</w:t>
            </w:r>
            <w:r>
              <w:rPr>
                <w:rFonts w:hint="eastAsia"/>
                <w:bCs/>
                <w:lang w:eastAsia="zh-CN"/>
              </w:rPr>
              <w:t>液压管路布置与其他运动机件应当无相互干涉</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11" w:hRule="atLeast"/>
          <w:jc w:val="center"/>
        </w:trPr>
        <w:tc>
          <w:tcPr>
            <w:tcW w:w="456" w:type="dxa"/>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2.9.</w:t>
            </w:r>
            <w:r>
              <w:rPr>
                <w:bCs/>
                <w:lang w:eastAsia="zh-CN"/>
              </w:rPr>
              <w:t>3液压</w:t>
            </w:r>
            <w:r>
              <w:rPr>
                <w:rFonts w:hint="eastAsia"/>
                <w:bCs/>
                <w:lang w:eastAsia="zh-CN"/>
              </w:rPr>
              <w:t>系统固定接口</w:t>
            </w:r>
            <w:r>
              <w:rPr>
                <w:bCs/>
                <w:lang w:eastAsia="zh-CN"/>
              </w:rPr>
              <w:t>当无渗油，运动接口应当无漏油，各部位应当无泄漏现象</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95"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2.10制动系统检查</w:t>
            </w: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2.10.1应当具有行车、驻车制动系统，并且设置相应的制动装置</w:t>
            </w:r>
            <w:bookmarkStart w:id="12" w:name="bookmark382"/>
            <w:bookmarkEnd w:id="12"/>
            <w:bookmarkStart w:id="13" w:name="bookmark383"/>
            <w:bookmarkEnd w:id="13"/>
            <w:bookmarkStart w:id="14" w:name="bookmark384"/>
            <w:bookmarkEnd w:id="14"/>
            <w:bookmarkStart w:id="15" w:name="bookmark381"/>
            <w:bookmarkEnd w:id="15"/>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6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2.10.2坐驾式叉车的行车制动与驻车制动系统应当由独立的装置进行操纵</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7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2.10.3站驾式和步驾式叉车应当带有一个制动装置，该装置应当自动闭合直到其被</w:t>
            </w:r>
            <w:r>
              <w:rPr>
                <w:bCs/>
                <w:lang w:eastAsia="zh-CN"/>
              </w:rPr>
              <w:t xml:space="preserve"> </w:t>
            </w:r>
            <w:r>
              <w:rPr>
                <w:rFonts w:hint="eastAsia"/>
                <w:bCs/>
                <w:lang w:eastAsia="zh-CN"/>
              </w:rPr>
              <w:t>司机释放</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95"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2.10.4驻车制动系统应当通过纯机械装置把工作部件锁止，手柄操纵的驻车制动控制装置应当有防止意外释放的功能</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56"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2.11电气和控制系统检查</w:t>
            </w: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2.11.1启动应当设置开关装置，需要由钥匙、密码或者磁卡等才能启动</w:t>
            </w:r>
          </w:p>
        </w:tc>
        <w:tc>
          <w:tcPr>
            <w:tcW w:w="1073" w:type="dxa"/>
            <w:tcMar>
              <w:left w:w="57" w:type="dxa"/>
              <w:right w:w="57" w:type="dxa"/>
            </w:tcMar>
            <w:vAlign w:val="center"/>
          </w:tcPr>
          <w:p>
            <w:pPr>
              <w:autoSpaceDE w:val="0"/>
              <w:autoSpaceDN w:val="0"/>
              <w:adjustRightInd w:val="0"/>
              <w:ind w:right="-149" w:rightChars="-71"/>
              <w:jc w:val="center"/>
              <w:rPr>
                <w:rFonts w:hint="eastAsia" w:ascii="宋体" w:hAnsi="宋体" w:cs="宋体"/>
                <w:szCs w:val="21"/>
              </w:rPr>
            </w:pPr>
          </w:p>
        </w:tc>
        <w:tc>
          <w:tcPr>
            <w:tcW w:w="1073" w:type="dxa"/>
            <w:tcMar>
              <w:left w:w="57" w:type="dxa"/>
              <w:right w:w="57" w:type="dxa"/>
            </w:tcMar>
            <w:vAlign w:val="center"/>
          </w:tcPr>
          <w:p>
            <w:pPr>
              <w:autoSpaceDE w:val="0"/>
              <w:autoSpaceDN w:val="0"/>
              <w:adjustRightInd w:val="0"/>
              <w:ind w:right="-149" w:rightChars="-71"/>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61"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2.11.2电动叉车的电气系统应当采用双线制</w:t>
            </w: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5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2.11.3坐驾式平衡重式叉车和侧面式叉车应当设置前照灯、制动灯、转向灯，其他叉车根据使用工况设置照明和信号装置，照明和信号装置应当功能完好</w:t>
            </w: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5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2.11.4电动叉车应当设置非自动复位且能切断所有驱动部件电源的紧急断电开关</w:t>
            </w: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5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2.11.5动力源为蓄电池的叉车充电时，应当保证电源与车辆控制电路分离，车辆不能通过自身的驱动系统行驶；插接器应当有定向防护，防止插接器接反</w:t>
            </w: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5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spacing w:line="240" w:lineRule="auto"/>
              <w:ind w:firstLine="0"/>
              <w:jc w:val="both"/>
              <w:rPr>
                <w:rFonts w:hint="eastAsia"/>
                <w:bCs/>
                <w:lang w:eastAsia="zh-CN"/>
              </w:rPr>
            </w:pPr>
            <w:r>
              <w:rPr>
                <w:rFonts w:hint="eastAsia"/>
                <w:bCs/>
                <w:lang w:eastAsia="zh-CN"/>
              </w:rPr>
              <w:t>2.11.6</w:t>
            </w:r>
            <w:r>
              <w:rPr>
                <w:bCs/>
                <w:lang w:eastAsia="zh-CN"/>
              </w:rPr>
              <w:t>电气部件及线路的带电部分不得因使用损耗或者老化而裸露</w:t>
            </w: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c>
          <w:tcPr>
            <w:tcW w:w="1073" w:type="dxa"/>
            <w:tcMar>
              <w:left w:w="57" w:type="dxa"/>
              <w:right w:w="57" w:type="dxa"/>
            </w:tcMar>
            <w:vAlign w:val="center"/>
          </w:tcPr>
          <w:p>
            <w:pPr>
              <w:autoSpaceDE w:val="0"/>
              <w:autoSpaceDN w:val="0"/>
              <w:adjustRightInd w:val="0"/>
              <w:ind w:right="-149" w:rightChars="-71"/>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4"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2.12工作装置检查</w:t>
            </w: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2.12.1控制装置应当操作灵活，被释放时，应当自动回到中位，并且停止相应的载荷移动</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2.12.2应当设置防止货叉意外侧向滑移或者脱落的装置</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2.12.3各运动机构应当配合良好，无异响，运动无阻滞现象</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2.12.4</w:t>
            </w:r>
            <w:r>
              <w:rPr>
                <w:bCs/>
                <w:lang w:eastAsia="zh-CN"/>
              </w:rPr>
              <w:t>起升链条应当完整无裂纹，无变形，连接配合良好，工作灵敏可靠</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restart"/>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2.13安全保护与防护装置检查</w:t>
            </w: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2.13.1起升高度大于</w:t>
            </w:r>
            <w:r>
              <w:rPr>
                <w:bCs/>
                <w:lang w:eastAsia="zh-CN"/>
              </w:rPr>
              <w:t>1800mm</w:t>
            </w:r>
            <w:r>
              <w:rPr>
                <w:rFonts w:hint="eastAsia"/>
                <w:bCs/>
                <w:lang w:eastAsia="zh-CN"/>
              </w:rPr>
              <w:t>的乘驾式叉车或者载荷起升高度超过操作平台</w:t>
            </w:r>
            <w:r>
              <w:rPr>
                <w:bCs/>
                <w:lang w:eastAsia="zh-CN"/>
              </w:rPr>
              <w:t xml:space="preserve">1800mm </w:t>
            </w:r>
            <w:r>
              <w:rPr>
                <w:rFonts w:hint="eastAsia"/>
                <w:bCs/>
                <w:lang w:eastAsia="zh-CN"/>
              </w:rPr>
              <w:t>的叉车应当装有护顶架或者司机室</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2.13.2乘驾式叉车应当设置由司机控制、能够发出清晰声响的警示装置（至少包括喇叭、</w:t>
            </w:r>
            <w:r>
              <w:rPr>
                <w:bCs/>
                <w:lang w:eastAsia="zh-CN"/>
              </w:rPr>
              <w:t xml:space="preserve"> </w:t>
            </w:r>
            <w:r>
              <w:rPr>
                <w:rFonts w:hint="eastAsia"/>
                <w:bCs/>
                <w:lang w:eastAsia="zh-CN"/>
              </w:rPr>
              <w:t>倒车蜂鸣器），其中，设计为司机侧站或者侧坐驾驶的叉车可不设置倒车蜂鸣器</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2.13.3坐驾式平衡重式叉车和侧面式叉车应当设置后视镜，侧面式叉车货叉侧和额定起重量大于</w:t>
            </w:r>
            <w:r>
              <w:rPr>
                <w:bCs/>
                <w:lang w:eastAsia="zh-CN"/>
              </w:rPr>
              <w:t>10000kg</w:t>
            </w:r>
            <w:r>
              <w:rPr>
                <w:rFonts w:hint="eastAsia"/>
                <w:bCs/>
                <w:lang w:eastAsia="zh-CN"/>
              </w:rPr>
              <w:t>的坐驾式平衡重式叉车后方还应当设置视频监视装置</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2.13.4额定起重量不大于</w:t>
            </w:r>
            <w:r>
              <w:rPr>
                <w:bCs/>
                <w:lang w:eastAsia="zh-CN"/>
              </w:rPr>
              <w:t>10000kg</w:t>
            </w:r>
            <w:r>
              <w:rPr>
                <w:rFonts w:hint="eastAsia"/>
                <w:bCs/>
                <w:lang w:eastAsia="zh-CN"/>
              </w:rPr>
              <w:t>的坐驾式平衡重式叉车和侧面式叉车</w:t>
            </w:r>
            <w:r>
              <w:rPr>
                <w:bCs/>
                <w:lang w:eastAsia="zh-CN"/>
              </w:rPr>
              <w:t>(</w:t>
            </w:r>
            <w:r>
              <w:rPr>
                <w:rFonts w:hint="eastAsia"/>
                <w:bCs/>
                <w:lang w:eastAsia="zh-CN"/>
              </w:rPr>
              <w:t>单侧</w:t>
            </w:r>
            <w:r>
              <w:rPr>
                <w:bCs/>
                <w:lang w:eastAsia="zh-CN"/>
              </w:rPr>
              <w:t>)</w:t>
            </w:r>
            <w:r>
              <w:rPr>
                <w:rFonts w:hint="eastAsia"/>
                <w:bCs/>
                <w:lang w:eastAsia="zh-CN"/>
              </w:rPr>
              <w:t>应当配备司机防护约束装置</w:t>
            </w:r>
            <w:r>
              <w:rPr>
                <w:bCs/>
                <w:lang w:eastAsia="zh-CN"/>
              </w:rPr>
              <w:t>(</w:t>
            </w:r>
            <w:r>
              <w:rPr>
                <w:rFonts w:hint="eastAsia"/>
                <w:bCs/>
                <w:lang w:eastAsia="zh-CN"/>
              </w:rPr>
              <w:t>如安全带</w:t>
            </w:r>
            <w:r>
              <w:rPr>
                <w:bCs/>
                <w:lang w:eastAsia="zh-CN"/>
              </w:rPr>
              <w:t>)</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963"/>
              </w:tabs>
              <w:spacing w:line="240" w:lineRule="auto"/>
              <w:ind w:firstLine="0"/>
              <w:jc w:val="both"/>
              <w:rPr>
                <w:rFonts w:hint="eastAsia"/>
                <w:bCs/>
                <w:lang w:eastAsia="zh-CN"/>
              </w:rPr>
            </w:pPr>
            <w:r>
              <w:rPr>
                <w:rFonts w:hint="eastAsia"/>
                <w:bCs/>
                <w:lang w:eastAsia="zh-CN"/>
              </w:rPr>
              <w:t>2.13.5前风窗玻璃应当设置刮水器，刮水器应当能正常工作，且关闭时刮片应当能自动返回至初始位置</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2.13.6应当设置下降限速装置、门架前倾自锁装置，如果下降限速阀与升降油缸采用软管连接，还应当有防止爆管装置</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spacing w:line="240" w:lineRule="auto"/>
              <w:ind w:firstLine="0"/>
              <w:jc w:val="both"/>
              <w:rPr>
                <w:rFonts w:hint="eastAsia"/>
                <w:bCs/>
                <w:lang w:eastAsia="zh-CN"/>
              </w:rPr>
            </w:pPr>
            <w:r>
              <w:rPr>
                <w:rFonts w:hint="eastAsia"/>
                <w:bCs/>
                <w:lang w:eastAsia="zh-CN"/>
              </w:rPr>
              <w:t>2.13.7起升装置应当设置防越程装置，避免货叉架和门架上的运动部件从门架上端意外脱落</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094"/>
              </w:tabs>
              <w:spacing w:line="240" w:lineRule="auto"/>
              <w:ind w:firstLine="0"/>
              <w:jc w:val="both"/>
              <w:rPr>
                <w:rFonts w:hint="eastAsia"/>
                <w:bCs/>
                <w:lang w:eastAsia="zh-CN"/>
              </w:rPr>
            </w:pPr>
            <w:r>
              <w:rPr>
                <w:rFonts w:hint="eastAsia"/>
                <w:bCs/>
                <w:lang w:eastAsia="zh-CN"/>
              </w:rPr>
              <w:t>2.13.8挡货架上开口的两个尺寸中应当有一个不大于</w:t>
            </w:r>
            <w:r>
              <w:rPr>
                <w:bCs/>
                <w:lang w:eastAsia="zh-CN"/>
              </w:rPr>
              <w:t>150mm</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1"/>
              </w:tabs>
              <w:spacing w:line="240" w:lineRule="auto"/>
              <w:ind w:firstLine="0"/>
              <w:jc w:val="both"/>
              <w:rPr>
                <w:rFonts w:hint="eastAsia"/>
                <w:bCs/>
                <w:lang w:eastAsia="zh-CN"/>
              </w:rPr>
            </w:pPr>
            <w:r>
              <w:rPr>
                <w:rFonts w:hint="eastAsia"/>
                <w:bCs/>
                <w:lang w:eastAsia="zh-CN"/>
              </w:rPr>
              <w:t>2.13.9应当有避免正常操作的司机与车轮接触以及被车轮甩出物体伤害的保护装置；对于转向轮，只需对其直线行驶状态进行防护</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2.13.10没有安装护顶架的带有折叠站板的步驾式叉车，当其侧面防护装置处于保护位置时，应当采取措施以防起升高度大于</w:t>
            </w:r>
            <w:r>
              <w:rPr>
                <w:bCs/>
                <w:lang w:eastAsia="zh-CN"/>
              </w:rPr>
              <w:t>1800mm</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2.13.11对于步驾式叉车，舵柄应当配备一种装置，当其头部在操作位置与固体物</w:t>
            </w:r>
            <w:r>
              <w:rPr>
                <w:bCs/>
                <w:lang w:eastAsia="zh-CN"/>
              </w:rPr>
              <w:t>(</w:t>
            </w:r>
            <w:r>
              <w:rPr>
                <w:rFonts w:hint="eastAsia"/>
                <w:bCs/>
                <w:lang w:eastAsia="zh-CN"/>
              </w:rPr>
              <w:t>如司机的身体</w:t>
            </w:r>
            <w:r>
              <w:rPr>
                <w:bCs/>
                <w:lang w:eastAsia="zh-CN"/>
              </w:rPr>
              <w:t>)</w:t>
            </w:r>
            <w:r>
              <w:rPr>
                <w:rFonts w:hint="eastAsia"/>
                <w:bCs/>
                <w:lang w:eastAsia="zh-CN"/>
              </w:rPr>
              <w:t>接触时，能促使车辆朝远离司机的方向运行，直到该装置上的压力被解除或者实施制动使车辆停下，且该装置应可靠有效</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22"/>
              </w:tabs>
              <w:spacing w:line="240" w:lineRule="auto"/>
              <w:ind w:firstLine="0"/>
              <w:jc w:val="both"/>
              <w:rPr>
                <w:rFonts w:hint="eastAsia"/>
                <w:bCs/>
                <w:lang w:eastAsia="zh-CN"/>
              </w:rPr>
            </w:pPr>
            <w:r>
              <w:rPr>
                <w:rFonts w:hint="eastAsia"/>
                <w:bCs/>
                <w:lang w:eastAsia="zh-CN"/>
              </w:rPr>
              <w:t>2.13.12对带站驾板的步驾式叉车，悬挂在车架上的站板应当能自动折叠或者回转到直立位置；无法实现自动折叠站板当有保护装置，防止司机未站立在站板上或者站板未处于折起位置时叉车移动或者运行</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2.13.13对带站驾板的步驾式叉车，当站板保护装置和司机侧面围护装置处于保护位置时，叉车的运行速度才可超过</w:t>
            </w:r>
            <w:r>
              <w:rPr>
                <w:bCs/>
                <w:lang w:eastAsia="zh-CN"/>
              </w:rPr>
              <w:t>6km/h</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jc w:val="center"/>
        </w:trPr>
        <w:tc>
          <w:tcPr>
            <w:tcW w:w="456" w:type="dxa"/>
            <w:vMerge w:val="continue"/>
            <w:tcMar>
              <w:left w:w="57" w:type="dxa"/>
              <w:right w:w="57" w:type="dxa"/>
            </w:tcMar>
            <w:vAlign w:val="center"/>
          </w:tcPr>
          <w:p>
            <w:pPr>
              <w:pStyle w:val="23"/>
              <w:numPr>
                <w:ilvl w:val="0"/>
                <w:numId w:val="1"/>
              </w:numPr>
              <w:adjustRightInd w:val="0"/>
              <w:snapToGrid w:val="0"/>
              <w:ind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adjustRightInd w:val="0"/>
              <w:snapToGrid w:val="0"/>
              <w:rPr>
                <w:rFonts w:hint="eastAsia" w:ascii="宋体" w:hAnsi="宋体" w:cs="宋体"/>
                <w:bCs/>
                <w:kern w:val="0"/>
                <w:sz w:val="20"/>
                <w:lang w:val="zh-TW" w:bidi="zh-TW"/>
              </w:rPr>
            </w:pPr>
            <w:bookmarkStart w:id="16" w:name="bookmark404"/>
            <w:bookmarkEnd w:id="16"/>
            <w:bookmarkStart w:id="17" w:name="bookmark403"/>
            <w:bookmarkEnd w:id="17"/>
            <w:bookmarkStart w:id="18" w:name="bookmark406"/>
            <w:bookmarkEnd w:id="18"/>
            <w:bookmarkStart w:id="19" w:name="bookmark409"/>
            <w:bookmarkEnd w:id="19"/>
            <w:bookmarkStart w:id="20" w:name="bookmark411"/>
            <w:bookmarkEnd w:id="20"/>
            <w:bookmarkStart w:id="21" w:name="bookmark412"/>
            <w:bookmarkEnd w:id="21"/>
            <w:bookmarkStart w:id="22" w:name="bookmark405"/>
            <w:bookmarkEnd w:id="22"/>
            <w:bookmarkStart w:id="23" w:name="bookmark410"/>
            <w:bookmarkEnd w:id="23"/>
            <w:bookmarkStart w:id="24" w:name="bookmark407"/>
            <w:bookmarkEnd w:id="24"/>
            <w:bookmarkStart w:id="25" w:name="bookmark408"/>
            <w:bookmarkEnd w:id="25"/>
            <w:bookmarkStart w:id="26" w:name="bookmark402"/>
            <w:bookmarkEnd w:id="26"/>
            <w:r>
              <w:rPr>
                <w:rFonts w:hint="eastAsia" w:ascii="宋体" w:hAnsi="宋体" w:cs="宋体"/>
                <w:bCs/>
                <w:kern w:val="0"/>
                <w:sz w:val="20"/>
                <w:lang w:val="zh-TW" w:bidi="zh-TW"/>
              </w:rPr>
              <w:t>2.13.14</w:t>
            </w:r>
            <w:r>
              <w:rPr>
                <w:rFonts w:ascii="宋体" w:hAnsi="宋体" w:cs="宋体"/>
                <w:bCs/>
                <w:kern w:val="0"/>
                <w:sz w:val="20"/>
                <w:lang w:val="zh-TW" w:bidi="zh-TW"/>
              </w:rPr>
              <w:t>护顶架(司机</w:t>
            </w:r>
            <w:r>
              <w:rPr>
                <w:rFonts w:hint="eastAsia" w:ascii="宋体" w:hAnsi="宋体" w:cs="宋体"/>
                <w:bCs/>
                <w:kern w:val="0"/>
                <w:sz w:val="20"/>
                <w:lang w:val="zh-TW" w:bidi="zh-TW"/>
              </w:rPr>
              <w:t>室</w:t>
            </w:r>
            <w:r>
              <w:rPr>
                <w:rFonts w:ascii="宋体" w:hAnsi="宋体" w:cs="宋体"/>
                <w:bCs/>
                <w:kern w:val="0"/>
                <w:sz w:val="20"/>
                <w:lang w:val="zh-TW" w:bidi="zh-TW"/>
              </w:rPr>
              <w:t>)与车辆连接应当紧固，结构件及其配件应当无裂纹、分离, 顶棚垂直方向应当</w:t>
            </w:r>
            <w:r>
              <w:rPr>
                <w:rFonts w:hint="eastAsia" w:ascii="宋体" w:hAnsi="宋体" w:cs="宋体"/>
                <w:bCs/>
                <w:kern w:val="0"/>
                <w:sz w:val="20"/>
                <w:lang w:val="zh-TW" w:bidi="zh-TW"/>
              </w:rPr>
              <w:t>无</w:t>
            </w:r>
            <w:r>
              <w:rPr>
                <w:rFonts w:ascii="宋体" w:hAnsi="宋体" w:cs="宋体"/>
                <w:bCs/>
                <w:kern w:val="0"/>
                <w:sz w:val="20"/>
                <w:lang w:val="zh-TW" w:bidi="zh-TW"/>
              </w:rPr>
              <w:t>明显的永久变形</w:t>
            </w:r>
          </w:p>
        </w:tc>
        <w:tc>
          <w:tcPr>
            <w:tcW w:w="1073" w:type="dxa"/>
            <w:tcMar>
              <w:left w:w="57" w:type="dxa"/>
              <w:right w:w="57" w:type="dxa"/>
            </w:tcMar>
            <w:vAlign w:val="center"/>
          </w:tcPr>
          <w:p>
            <w:pPr>
              <w:adjustRightInd w:val="0"/>
              <w:snapToGrid w:val="0"/>
              <w:jc w:val="center"/>
              <w:rPr>
                <w:rFonts w:hint="eastAsia" w:ascii="宋体" w:hAnsi="宋体" w:cs="宋体"/>
                <w:bCs/>
                <w:kern w:val="0"/>
                <w:sz w:val="20"/>
                <w:lang w:val="zh-TW" w:bidi="zh-TW"/>
              </w:rPr>
            </w:pPr>
          </w:p>
        </w:tc>
        <w:tc>
          <w:tcPr>
            <w:tcW w:w="1073" w:type="dxa"/>
            <w:tcMar>
              <w:left w:w="57" w:type="dxa"/>
              <w:right w:w="57" w:type="dxa"/>
            </w:tcMar>
            <w:vAlign w:val="center"/>
          </w:tcPr>
          <w:p>
            <w:pPr>
              <w:adjustRightInd w:val="0"/>
              <w:snapToGrid w:val="0"/>
              <w:jc w:val="center"/>
              <w:rPr>
                <w:rFonts w:hint="eastAsia" w:ascii="宋体" w:hAnsi="宋体" w:cs="宋体"/>
                <w:bCs/>
                <w:kern w:val="0"/>
                <w:sz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1742" w:hRule="atLeast"/>
          <w:jc w:val="center"/>
        </w:trPr>
        <w:tc>
          <w:tcPr>
            <w:tcW w:w="456" w:type="dxa"/>
            <w:vMerge w:val="restart"/>
            <w:tcMar>
              <w:left w:w="57" w:type="dxa"/>
              <w:right w:w="57" w:type="dxa"/>
            </w:tcMar>
            <w:vAlign w:val="center"/>
          </w:tcPr>
          <w:tbl>
            <w:tblPr>
              <w:tblStyle w:val="13"/>
              <w:tblW w:w="180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vAlign w:val="top"/>
                </w:tcPr>
                <w:p>
                  <w:pPr>
                    <w:pStyle w:val="23"/>
                    <w:numPr>
                      <w:ilvl w:val="0"/>
                      <w:numId w:val="1"/>
                    </w:numPr>
                    <w:adjustRightInd w:val="0"/>
                    <w:snapToGrid w:val="0"/>
                    <w:ind w:left="0" w:firstLine="0" w:firstLineChars="0"/>
                    <w:jc w:val="center"/>
                    <w:rPr>
                      <w:rFonts w:hint="eastAsia" w:ascii="宋体" w:hAnsi="宋体" w:cs="宋体"/>
                      <w:szCs w:val="21"/>
                    </w:rPr>
                  </w:pPr>
                </w:p>
              </w:tc>
              <w:tc>
                <w:tcPr>
                  <w:tcW w:w="360" w:type="dxa"/>
                  <w:vAlign w:val="top"/>
                </w:tcPr>
                <w:p>
                  <w:pPr>
                    <w:pStyle w:val="23"/>
                    <w:numPr>
                      <w:ilvl w:val="0"/>
                      <w:numId w:val="1"/>
                    </w:numPr>
                    <w:adjustRightInd w:val="0"/>
                    <w:snapToGrid w:val="0"/>
                    <w:ind w:left="0" w:firstLine="0" w:firstLineChars="0"/>
                    <w:jc w:val="center"/>
                    <w:rPr>
                      <w:rFonts w:hint="eastAsia" w:ascii="宋体" w:hAnsi="宋体" w:cs="宋体"/>
                      <w:szCs w:val="21"/>
                    </w:rPr>
                  </w:pPr>
                </w:p>
              </w:tc>
              <w:tc>
                <w:tcPr>
                  <w:tcW w:w="360" w:type="dxa"/>
                  <w:vAlign w:val="top"/>
                </w:tcPr>
                <w:p>
                  <w:pPr>
                    <w:pStyle w:val="23"/>
                    <w:numPr>
                      <w:ilvl w:val="0"/>
                      <w:numId w:val="1"/>
                    </w:numPr>
                    <w:adjustRightInd w:val="0"/>
                    <w:snapToGrid w:val="0"/>
                    <w:ind w:left="0" w:firstLine="0" w:firstLineChars="0"/>
                    <w:jc w:val="center"/>
                    <w:rPr>
                      <w:rFonts w:hint="eastAsia" w:ascii="宋体" w:hAnsi="宋体" w:cs="宋体"/>
                      <w:szCs w:val="21"/>
                    </w:rPr>
                  </w:pPr>
                </w:p>
              </w:tc>
              <w:tc>
                <w:tcPr>
                  <w:tcW w:w="360" w:type="dxa"/>
                  <w:vAlign w:val="top"/>
                </w:tcPr>
                <w:p>
                  <w:pPr>
                    <w:pStyle w:val="23"/>
                    <w:numPr>
                      <w:ilvl w:val="0"/>
                      <w:numId w:val="1"/>
                    </w:numPr>
                    <w:adjustRightInd w:val="0"/>
                    <w:snapToGrid w:val="0"/>
                    <w:ind w:left="0" w:firstLine="0" w:firstLineChars="0"/>
                    <w:jc w:val="center"/>
                    <w:rPr>
                      <w:rFonts w:hint="eastAsia" w:ascii="宋体" w:hAnsi="宋体" w:cs="宋体"/>
                      <w:szCs w:val="21"/>
                    </w:rPr>
                  </w:pPr>
                </w:p>
              </w:tc>
              <w:tc>
                <w:tcPr>
                  <w:tcW w:w="360" w:type="dxa"/>
                  <w:vAlign w:val="top"/>
                </w:tcPr>
                <w:p>
                  <w:pPr>
                    <w:pStyle w:val="23"/>
                    <w:numPr>
                      <w:ilvl w:val="0"/>
                      <w:numId w:val="1"/>
                    </w:numPr>
                    <w:adjustRightInd w:val="0"/>
                    <w:snapToGrid w:val="0"/>
                    <w:ind w:left="0" w:firstLine="0" w:firstLineChars="0"/>
                    <w:jc w:val="center"/>
                    <w:rPr>
                      <w:rFonts w:hint="eastAsia" w:ascii="宋体" w:hAnsi="宋体" w:cs="宋体"/>
                      <w:szCs w:val="21"/>
                    </w:rPr>
                  </w:pPr>
                </w:p>
              </w:tc>
            </w:tr>
          </w:tbl>
          <w:p>
            <w:pPr>
              <w:pStyle w:val="23"/>
              <w:adjustRightInd w:val="0"/>
              <w:snapToGrid w:val="0"/>
              <w:ind w:firstLine="0" w:firstLineChars="0"/>
              <w:jc w:val="center"/>
              <w:rPr>
                <w:rFonts w:hint="eastAsia" w:ascii="宋体" w:hAnsi="宋体" w:cs="宋体"/>
                <w:szCs w:val="21"/>
              </w:rPr>
            </w:pPr>
            <w:r>
              <w:rPr>
                <w:rFonts w:hint="eastAsia" w:ascii="宋体" w:hAnsi="宋体" w:cs="宋体"/>
                <w:szCs w:val="21"/>
              </w:rPr>
              <w:t>15</w:t>
            </w: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 xml:space="preserve">2.14安全监控装置检查 </w:t>
            </w: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2.14.1乘驾式电动叉车、电液换向的乘驾式内燃平衡重式叉车、电液换向的乘驾式内燃侧面式叉车应当设置司机坐</w:t>
            </w:r>
            <w:r>
              <w:rPr>
                <w:bCs/>
                <w:lang w:eastAsia="zh-CN"/>
              </w:rPr>
              <w:t>(</w:t>
            </w:r>
            <w:r>
              <w:rPr>
                <w:rFonts w:hint="eastAsia"/>
                <w:bCs/>
                <w:lang w:eastAsia="zh-CN"/>
              </w:rPr>
              <w:t>站</w:t>
            </w:r>
            <w:r>
              <w:rPr>
                <w:bCs/>
                <w:lang w:eastAsia="zh-CN"/>
              </w:rPr>
              <w:t>)</w:t>
            </w:r>
            <w:r>
              <w:rPr>
                <w:rFonts w:hint="eastAsia"/>
                <w:bCs/>
                <w:lang w:eastAsia="zh-CN"/>
              </w:rPr>
              <w:t>姿状态感知系统，当司机不在正常操作位置时</w:t>
            </w:r>
            <w:r>
              <w:rPr>
                <w:bCs/>
                <w:lang w:eastAsia="zh-CN"/>
              </w:rPr>
              <w:t xml:space="preserve">, </w:t>
            </w:r>
            <w:r>
              <w:rPr>
                <w:rFonts w:hint="eastAsia"/>
                <w:bCs/>
                <w:lang w:eastAsia="zh-CN"/>
              </w:rPr>
              <w:t>车辆不能进行动力运行，即使操纵载荷装卸控制装置，也不应当出现门架的倾斜和货叉架的移动；当司机回到正常操作位置，但没有进行额外操作时，动力运行、门架的倾斜和货叉架的移动均不应当自动发生</w:t>
            </w:r>
            <w:bookmarkStart w:id="27" w:name="bookmark414"/>
            <w:bookmarkEnd w:id="27"/>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984" w:hRule="atLeast"/>
          <w:jc w:val="center"/>
        </w:trPr>
        <w:tc>
          <w:tcPr>
            <w:tcW w:w="456" w:type="dxa"/>
            <w:vMerge w:val="continue"/>
            <w:tcMar>
              <w:left w:w="57" w:type="dxa"/>
              <w:right w:w="57" w:type="dxa"/>
            </w:tcMar>
            <w:vAlign w:val="center"/>
          </w:tcPr>
          <w:p>
            <w:pPr>
              <w:pStyle w:val="23"/>
              <w:numPr>
                <w:ilvl w:val="0"/>
                <w:numId w:val="1"/>
              </w:numPr>
              <w:adjustRightInd w:val="0"/>
              <w:snapToGrid w:val="0"/>
              <w:ind w:left="0" w:firstLine="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2.14.2</w:t>
            </w:r>
            <w:r>
              <w:rPr>
                <w:bCs/>
                <w:lang w:eastAsia="zh-CN"/>
              </w:rPr>
              <w:t>应当设置符合本规程的司机权限信息采集器，验证司机权限信息采集器是否有效，当该采集器失效、拆除或者司机信息不正确时，车辆不能启动</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44" w:hRule="atLeast"/>
          <w:jc w:val="center"/>
        </w:trPr>
        <w:tc>
          <w:tcPr>
            <w:tcW w:w="456" w:type="dxa"/>
            <w:vMerge w:val="restart"/>
            <w:tcMar>
              <w:left w:w="57" w:type="dxa"/>
              <w:right w:w="57" w:type="dxa"/>
            </w:tcMar>
            <w:vAlign w:val="center"/>
          </w:tcPr>
          <w:p>
            <w:pPr>
              <w:pStyle w:val="23"/>
              <w:numPr>
                <w:ilvl w:val="0"/>
                <w:numId w:val="1"/>
              </w:numPr>
              <w:adjustRightInd w:val="0"/>
              <w:snapToGrid w:val="0"/>
              <w:ind w:left="0" w:firstLine="420"/>
              <w:jc w:val="center"/>
              <w:rPr>
                <w:rFonts w:ascii="宋体" w:hAnsi="宋体" w:cs="宋体"/>
                <w:szCs w:val="21"/>
              </w:rPr>
            </w:pPr>
            <w:r>
              <w:rPr>
                <w:rFonts w:hint="eastAsia" w:ascii="宋体" w:hAnsi="宋体" w:cs="宋体"/>
                <w:szCs w:val="21"/>
              </w:rPr>
              <w:t>1</w:t>
            </w:r>
          </w:p>
          <w:p>
            <w:pPr>
              <w:rPr>
                <w:rFonts w:hint="eastAsia"/>
              </w:rPr>
            </w:pPr>
            <w:r>
              <w:rPr>
                <w:rFonts w:hint="eastAsia"/>
              </w:rPr>
              <w:t>16</w:t>
            </w: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2.15防爆性能检查</w:t>
            </w: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2.15.1电气部件及发动机均应当釆用防爆型，且其防爆级别不低于整机的防爆要求</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82" w:hRule="atLeast"/>
          <w:jc w:val="center"/>
        </w:trPr>
        <w:tc>
          <w:tcPr>
            <w:tcW w:w="456" w:type="dxa"/>
            <w:vMerge w:val="continue"/>
            <w:tcMar>
              <w:left w:w="57" w:type="dxa"/>
              <w:right w:w="57" w:type="dxa"/>
            </w:tcMar>
            <w:vAlign w:val="center"/>
          </w:tcPr>
          <w:p>
            <w:pPr>
              <w:pStyle w:val="23"/>
              <w:numPr>
                <w:ilvl w:val="0"/>
                <w:numId w:val="1"/>
              </w:numPr>
              <w:adjustRightInd w:val="0"/>
              <w:snapToGrid w:val="0"/>
              <w:ind w:left="0" w:firstLine="42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2.15.2防爆电气部件外壳应当无损伤，透明件无裂纹，结合面应当紧固严密，紧固件应当无锈蚀、缺损</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984" w:hRule="atLeast"/>
          <w:jc w:val="center"/>
        </w:trPr>
        <w:tc>
          <w:tcPr>
            <w:tcW w:w="456" w:type="dxa"/>
            <w:vMerge w:val="continue"/>
            <w:tcMar>
              <w:left w:w="57" w:type="dxa"/>
              <w:right w:w="57" w:type="dxa"/>
            </w:tcMar>
            <w:vAlign w:val="center"/>
          </w:tcPr>
          <w:p>
            <w:pPr>
              <w:pStyle w:val="23"/>
              <w:numPr>
                <w:ilvl w:val="0"/>
                <w:numId w:val="1"/>
              </w:numPr>
              <w:adjustRightInd w:val="0"/>
              <w:snapToGrid w:val="0"/>
              <w:ind w:left="0" w:firstLine="42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2.15.3车辆上所有大于</w:t>
            </w:r>
            <w:r>
              <w:rPr>
                <w:bCs/>
                <w:lang w:eastAsia="zh-CN"/>
              </w:rPr>
              <w:t>100cm</w:t>
            </w:r>
            <w:r>
              <w:rPr>
                <w:bCs/>
                <w:vertAlign w:val="superscript"/>
                <w:lang w:eastAsia="zh-CN"/>
              </w:rPr>
              <w:t>2</w:t>
            </w:r>
            <w:r>
              <w:rPr>
                <w:rFonts w:hint="eastAsia"/>
                <w:bCs/>
                <w:lang w:eastAsia="zh-CN"/>
              </w:rPr>
              <w:t>的金属部件应当等电位地连接到车架上，并且最终通过非火花导电带、导电轮胎等方式与大地良好导通</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984" w:hRule="atLeast"/>
          <w:jc w:val="center"/>
        </w:trPr>
        <w:tc>
          <w:tcPr>
            <w:tcW w:w="456" w:type="dxa"/>
            <w:vMerge w:val="continue"/>
            <w:tcMar>
              <w:left w:w="57" w:type="dxa"/>
              <w:right w:w="57" w:type="dxa"/>
            </w:tcMar>
            <w:vAlign w:val="center"/>
          </w:tcPr>
          <w:p>
            <w:pPr>
              <w:pStyle w:val="23"/>
              <w:numPr>
                <w:ilvl w:val="0"/>
                <w:numId w:val="1"/>
              </w:numPr>
              <w:adjustRightInd w:val="0"/>
              <w:snapToGrid w:val="0"/>
              <w:ind w:left="0" w:firstLine="42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2.15.4蓄电池箱体上应当设置清晰的永久性</w:t>
            </w:r>
            <w:r>
              <w:rPr>
                <w:bCs/>
                <w:lang w:eastAsia="zh-CN"/>
              </w:rPr>
              <w:t>“Ex”</w:t>
            </w:r>
            <w:r>
              <w:rPr>
                <w:rFonts w:hint="eastAsia"/>
                <w:bCs/>
                <w:lang w:eastAsia="zh-CN"/>
              </w:rPr>
              <w:t>标志和</w:t>
            </w:r>
            <w:r>
              <w:rPr>
                <w:bCs/>
                <w:lang w:eastAsia="zh-CN"/>
              </w:rPr>
              <w:t>“</w:t>
            </w:r>
            <w:r>
              <w:rPr>
                <w:rFonts w:hint="eastAsia"/>
                <w:bCs/>
                <w:lang w:eastAsia="zh-CN"/>
              </w:rPr>
              <w:t>危险场所严禁打开</w:t>
            </w:r>
            <w:r>
              <w:rPr>
                <w:bCs/>
                <w:lang w:eastAsia="zh-CN"/>
              </w:rPr>
              <w:t>”</w:t>
            </w:r>
            <w:r>
              <w:rPr>
                <w:rFonts w:hint="eastAsia"/>
                <w:bCs/>
                <w:lang w:eastAsia="zh-CN"/>
              </w:rPr>
              <w:t>字样的警告牌，箱体和箱盖应当设置用专用工具才能打开的锁紧机构</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984" w:hRule="atLeast"/>
          <w:jc w:val="center"/>
        </w:trPr>
        <w:tc>
          <w:tcPr>
            <w:tcW w:w="456" w:type="dxa"/>
            <w:vMerge w:val="continue"/>
            <w:tcMar>
              <w:left w:w="57" w:type="dxa"/>
              <w:right w:w="57" w:type="dxa"/>
            </w:tcMar>
            <w:vAlign w:val="center"/>
          </w:tcPr>
          <w:p>
            <w:pPr>
              <w:pStyle w:val="23"/>
              <w:numPr>
                <w:ilvl w:val="0"/>
                <w:numId w:val="1"/>
              </w:numPr>
              <w:adjustRightInd w:val="0"/>
              <w:snapToGrid w:val="0"/>
              <w:ind w:left="0" w:firstLine="42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2.15.5发动机的进气管应当设置阻火器，排气管应当设置阻火器和火星熄灭器，进气管道、排气管道不应当有裂纹；进气系统还应当设置进气截止阀，进气截止阀应当能手动操作，手动操作时，发动机应当能可靠停机</w:t>
            </w:r>
          </w:p>
        </w:tc>
        <w:tc>
          <w:tcPr>
            <w:tcW w:w="1073" w:type="dxa"/>
            <w:tcMar>
              <w:left w:w="57" w:type="dxa"/>
              <w:right w:w="57" w:type="dxa"/>
            </w:tcMar>
            <w:vAlign w:val="center"/>
          </w:tcPr>
          <w:p>
            <w:pPr>
              <w:adjustRightInd w:val="0"/>
              <w:snapToGrid w:val="0"/>
              <w:jc w:val="center"/>
              <w:rPr>
                <w:rFonts w:hint="eastAsia" w:ascii="宋体" w:hAnsi="宋体" w:cs="宋体"/>
                <w:szCs w:val="21"/>
              </w:rPr>
            </w:pPr>
          </w:p>
        </w:tc>
        <w:tc>
          <w:tcPr>
            <w:tcW w:w="1073" w:type="dxa"/>
            <w:tcMar>
              <w:left w:w="57" w:type="dxa"/>
              <w:right w:w="57" w:type="dxa"/>
            </w:tcMar>
            <w:vAlign w:val="center"/>
          </w:tcPr>
          <w:p>
            <w:pPr>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1009" w:hRule="atLeast"/>
          <w:jc w:val="center"/>
        </w:trPr>
        <w:tc>
          <w:tcPr>
            <w:tcW w:w="456" w:type="dxa"/>
            <w:vMerge w:val="continue"/>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szCs w:val="21"/>
              </w:rPr>
            </w:pPr>
            <w:r>
              <w:rPr>
                <w:rFonts w:hint="eastAsia"/>
                <w:bCs/>
                <w:lang w:eastAsia="zh-CN"/>
              </w:rPr>
              <w:t>2.15.6</w:t>
            </w:r>
            <w:r>
              <w:rPr>
                <w:bCs/>
                <w:lang w:eastAsia="zh-CN"/>
              </w:rPr>
              <w:t>载荷装卸装置接触或者可能接触地面或者载荷的</w:t>
            </w:r>
            <w:r>
              <w:rPr>
                <w:rFonts w:hint="eastAsia"/>
                <w:bCs/>
                <w:lang w:eastAsia="zh-CN"/>
              </w:rPr>
              <w:t>所有表面</w:t>
            </w:r>
            <w:r>
              <w:rPr>
                <w:bCs/>
                <w:lang w:eastAsia="zh-CN"/>
              </w:rPr>
              <w:t>，应当用铜、铜锌合金、不锈钢或者非金属材料（如橡胶、塑料）包覆</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28" w:hRule="atLeast"/>
          <w:jc w:val="center"/>
        </w:trPr>
        <w:tc>
          <w:tcPr>
            <w:tcW w:w="456" w:type="dxa"/>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w:t>
            </w:r>
            <w:r>
              <w:rPr>
                <w:bCs/>
                <w:lang w:eastAsia="zh-CN"/>
              </w:rPr>
              <w:t>.15.7</w:t>
            </w:r>
            <w:r>
              <w:rPr>
                <w:rFonts w:hint="eastAsia"/>
                <w:bCs/>
                <w:lang w:eastAsia="zh-CN"/>
              </w:rPr>
              <w:t>隔爆型电气部件部件隔爆面及隔爆箱盖应可靠</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08" w:hRule="atLeast"/>
          <w:jc w:val="center"/>
        </w:trPr>
        <w:tc>
          <w:tcPr>
            <w:tcW w:w="456" w:type="dxa"/>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w:t>
            </w:r>
            <w:r>
              <w:rPr>
                <w:bCs/>
                <w:lang w:eastAsia="zh-CN"/>
              </w:rPr>
              <w:t>.15.8</w:t>
            </w:r>
            <w:r>
              <w:rPr>
                <w:rFonts w:hint="eastAsia"/>
                <w:bCs/>
                <w:lang w:eastAsia="zh-CN"/>
              </w:rPr>
              <w:t>浇封型电气部件浇封面应完整可靠</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89" w:hRule="atLeast"/>
          <w:jc w:val="center"/>
        </w:trPr>
        <w:tc>
          <w:tcPr>
            <w:tcW w:w="456" w:type="dxa"/>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w:t>
            </w:r>
            <w:r>
              <w:rPr>
                <w:bCs/>
                <w:lang w:eastAsia="zh-CN"/>
              </w:rPr>
              <w:t>.15.9</w:t>
            </w:r>
            <w:r>
              <w:rPr>
                <w:rFonts w:hint="eastAsia"/>
                <w:bCs/>
                <w:lang w:eastAsia="zh-CN"/>
              </w:rPr>
              <w:t>蓄电池及电源装置安装及连接应安全可靠</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497" w:hRule="atLeast"/>
          <w:jc w:val="center"/>
        </w:trPr>
        <w:tc>
          <w:tcPr>
            <w:tcW w:w="456" w:type="dxa"/>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w:t>
            </w:r>
            <w:r>
              <w:rPr>
                <w:bCs/>
                <w:lang w:eastAsia="zh-CN"/>
              </w:rPr>
              <w:t>.15.10</w:t>
            </w:r>
            <w:r>
              <w:rPr>
                <w:rFonts w:hint="eastAsia"/>
                <w:bCs/>
                <w:lang w:eastAsia="zh-CN"/>
              </w:rPr>
              <w:t>电路连接及性能应安全可靠</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60" w:hRule="atLeast"/>
          <w:jc w:val="center"/>
        </w:trPr>
        <w:tc>
          <w:tcPr>
            <w:tcW w:w="456" w:type="dxa"/>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w:t>
            </w:r>
            <w:r>
              <w:rPr>
                <w:bCs/>
                <w:lang w:eastAsia="zh-CN"/>
              </w:rPr>
              <w:t>.15.11</w:t>
            </w:r>
            <w:r>
              <w:rPr>
                <w:rFonts w:hint="eastAsia"/>
                <w:bCs/>
                <w:lang w:eastAsia="zh-CN"/>
              </w:rPr>
              <w:t>电缆引入装置密封性安全可靠，外壳多余孔的封堵及金属部件与整车的等电位要求应安全可靠</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05" w:hRule="atLeast"/>
          <w:jc w:val="center"/>
        </w:trPr>
        <w:tc>
          <w:tcPr>
            <w:tcW w:w="456" w:type="dxa"/>
            <w:vMerge w:val="restart"/>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r>
              <w:rPr>
                <w:rFonts w:hint="eastAsia" w:ascii="宋体" w:hAnsi="宋体" w:cs="宋体"/>
                <w:szCs w:val="21"/>
              </w:rPr>
              <w:t>1</w:t>
            </w:r>
            <w:r>
              <w:rPr>
                <w:rFonts w:ascii="宋体" w:hAnsi="宋体" w:cs="宋体"/>
                <w:szCs w:val="21"/>
              </w:rPr>
              <w:t>7</w:t>
            </w: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w:t>
            </w:r>
            <w:r>
              <w:rPr>
                <w:rFonts w:ascii="宋体" w:hAnsi="宋体" w:cs="宋体"/>
                <w:szCs w:val="21"/>
              </w:rPr>
              <w:t>.16</w:t>
            </w:r>
            <w:r>
              <w:rPr>
                <w:rFonts w:hint="eastAsia" w:ascii="宋体" w:hAnsi="宋体" w:cs="宋体"/>
                <w:szCs w:val="21"/>
              </w:rPr>
              <w:t>载荷搬运装置与载荷控制装置</w:t>
            </w: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w:t>
            </w:r>
            <w:r>
              <w:rPr>
                <w:bCs/>
                <w:lang w:eastAsia="zh-CN"/>
              </w:rPr>
              <w:t>.16.1</w:t>
            </w:r>
            <w:r>
              <w:rPr>
                <w:rFonts w:hint="eastAsia"/>
                <w:bCs/>
                <w:lang w:eastAsia="zh-CN"/>
              </w:rPr>
              <w:t>载荷搬运装置（货叉）应无裂纹、无焊接。货叉水平段和垂直段厚度不得小于原值的9</w:t>
            </w:r>
            <w:r>
              <w:rPr>
                <w:bCs/>
                <w:lang w:eastAsia="zh-CN"/>
              </w:rPr>
              <w:t>0</w:t>
            </w:r>
            <w:r>
              <w:rPr>
                <w:rFonts w:hint="eastAsia"/>
                <w:bCs/>
                <w:lang w:eastAsia="zh-CN"/>
              </w:rPr>
              <w:t>%。</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568" w:hRule="atLeast"/>
          <w:jc w:val="center"/>
        </w:trPr>
        <w:tc>
          <w:tcPr>
            <w:tcW w:w="456" w:type="dxa"/>
            <w:vMerge w:val="continue"/>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w:t>
            </w:r>
            <w:r>
              <w:rPr>
                <w:bCs/>
                <w:lang w:eastAsia="zh-CN"/>
              </w:rPr>
              <w:t>.16.2</w:t>
            </w:r>
            <w:r>
              <w:rPr>
                <w:rFonts w:hint="eastAsia"/>
                <w:bCs/>
                <w:lang w:eastAsia="zh-CN"/>
              </w:rPr>
              <w:t>载荷装卸控制装置操作灵活、工作可靠。</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20" w:hRule="atLeast"/>
          <w:jc w:val="center"/>
        </w:trPr>
        <w:tc>
          <w:tcPr>
            <w:tcW w:w="456" w:type="dxa"/>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w:t>
            </w:r>
            <w:r>
              <w:rPr>
                <w:rFonts w:ascii="宋体" w:hAnsi="宋体" w:cs="宋体"/>
                <w:szCs w:val="21"/>
              </w:rPr>
              <w:t>.17</w:t>
            </w:r>
            <w:r>
              <w:rPr>
                <w:rFonts w:hint="eastAsia" w:ascii="宋体" w:hAnsi="宋体" w:cs="宋体"/>
                <w:szCs w:val="21"/>
              </w:rPr>
              <w:t>主要零部件</w:t>
            </w:r>
          </w:p>
        </w:tc>
        <w:tc>
          <w:tcPr>
            <w:tcW w:w="5670" w:type="dxa"/>
            <w:tcMar>
              <w:left w:w="57" w:type="dxa"/>
              <w:right w:w="57" w:type="dxa"/>
            </w:tcMar>
            <w:vAlign w:val="center"/>
          </w:tcPr>
          <w:p>
            <w:pPr>
              <w:pStyle w:val="19"/>
              <w:tabs>
                <w:tab w:val="left" w:pos="1136"/>
              </w:tabs>
              <w:spacing w:line="240" w:lineRule="auto"/>
              <w:ind w:firstLine="0"/>
              <w:jc w:val="both"/>
              <w:rPr>
                <w:rFonts w:hint="eastAsia" w:eastAsia="PMingLiU"/>
                <w:bCs/>
              </w:rPr>
            </w:pPr>
            <w:r>
              <w:rPr>
                <w:rFonts w:hint="eastAsia"/>
                <w:bCs/>
                <w:lang w:eastAsia="zh-CN"/>
              </w:rPr>
              <w:t>2</w:t>
            </w:r>
            <w:r>
              <w:rPr>
                <w:bCs/>
                <w:lang w:eastAsia="zh-CN"/>
              </w:rPr>
              <w:t>.17.1</w:t>
            </w:r>
            <w:r>
              <w:rPr>
                <w:rFonts w:hint="eastAsia"/>
                <w:bCs/>
                <w:lang w:eastAsia="zh-CN"/>
              </w:rPr>
              <w:t>主要零部件的变形、裂纹、磨损应满足安全使用要求</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690" w:hRule="atLeast"/>
          <w:jc w:val="center"/>
        </w:trPr>
        <w:tc>
          <w:tcPr>
            <w:tcW w:w="456" w:type="dxa"/>
            <w:tcMar>
              <w:left w:w="57" w:type="dxa"/>
              <w:right w:w="57" w:type="dxa"/>
            </w:tcMar>
            <w:vAlign w:val="center"/>
          </w:tcPr>
          <w:p>
            <w:pPr>
              <w:pStyle w:val="23"/>
              <w:numPr>
                <w:ilvl w:val="0"/>
                <w:numId w:val="1"/>
              </w:numPr>
              <w:adjustRightInd w:val="0"/>
              <w:snapToGrid w:val="0"/>
              <w:ind w:left="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2</w:t>
            </w:r>
            <w:r>
              <w:rPr>
                <w:rFonts w:ascii="宋体" w:hAnsi="宋体" w:cs="宋体"/>
                <w:szCs w:val="21"/>
              </w:rPr>
              <w:t>.18</w:t>
            </w:r>
            <w:r>
              <w:rPr>
                <w:rFonts w:hint="eastAsia" w:ascii="宋体" w:hAnsi="宋体" w:cs="宋体"/>
                <w:szCs w:val="21"/>
              </w:rPr>
              <w:t>指示装置</w:t>
            </w:r>
          </w:p>
        </w:tc>
        <w:tc>
          <w:tcPr>
            <w:tcW w:w="5670" w:type="dxa"/>
            <w:tcMar>
              <w:left w:w="57" w:type="dxa"/>
              <w:right w:w="57" w:type="dxa"/>
            </w:tcMar>
            <w:vAlign w:val="center"/>
          </w:tcPr>
          <w:p>
            <w:pPr>
              <w:pStyle w:val="19"/>
              <w:tabs>
                <w:tab w:val="left" w:pos="1136"/>
              </w:tabs>
              <w:spacing w:line="240" w:lineRule="auto"/>
              <w:ind w:firstLine="0"/>
              <w:jc w:val="both"/>
              <w:rPr>
                <w:rFonts w:hint="eastAsia"/>
                <w:bCs/>
                <w:lang w:eastAsia="zh-CN"/>
              </w:rPr>
            </w:pPr>
            <w:r>
              <w:rPr>
                <w:rFonts w:hint="eastAsia"/>
                <w:bCs/>
                <w:lang w:eastAsia="zh-CN"/>
              </w:rPr>
              <w:t>2</w:t>
            </w:r>
            <w:r>
              <w:rPr>
                <w:bCs/>
                <w:lang w:eastAsia="zh-CN"/>
              </w:rPr>
              <w:t>.18.1</w:t>
            </w:r>
            <w:r>
              <w:rPr>
                <w:rFonts w:hint="eastAsia"/>
                <w:bCs/>
                <w:lang w:eastAsia="zh-CN"/>
              </w:rPr>
              <w:t>指示装置性能可靠，精度符合安全使用要求</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jc w:val="center"/>
        </w:trPr>
        <w:tc>
          <w:tcPr>
            <w:tcW w:w="456" w:type="dxa"/>
            <w:vMerge w:val="restart"/>
            <w:tcMar>
              <w:left w:w="57" w:type="dxa"/>
              <w:right w:w="57" w:type="dxa"/>
            </w:tcMar>
            <w:vAlign w:val="center"/>
          </w:tcPr>
          <w:p>
            <w:pPr>
              <w:pStyle w:val="23"/>
              <w:adjustRightInd w:val="0"/>
              <w:snapToGrid w:val="0"/>
              <w:ind w:firstLine="0" w:firstLineChars="0"/>
              <w:jc w:val="center"/>
              <w:rPr>
                <w:rFonts w:hint="eastAsia" w:ascii="宋体" w:hAnsi="宋体" w:cs="宋体"/>
                <w:szCs w:val="21"/>
              </w:rPr>
            </w:pPr>
            <w:r>
              <w:rPr>
                <w:rFonts w:hint="eastAsia" w:ascii="宋体" w:hAnsi="宋体" w:cs="宋体"/>
                <w:szCs w:val="21"/>
              </w:rPr>
              <w:t>1</w:t>
            </w:r>
            <w:r>
              <w:rPr>
                <w:rFonts w:ascii="宋体" w:hAnsi="宋体" w:cs="宋体"/>
                <w:szCs w:val="21"/>
              </w:rPr>
              <w:t>9</w:t>
            </w:r>
          </w:p>
        </w:tc>
        <w:tc>
          <w:tcPr>
            <w:tcW w:w="619"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3.试验</w:t>
            </w:r>
          </w:p>
        </w:tc>
        <w:tc>
          <w:tcPr>
            <w:tcW w:w="993" w:type="dxa"/>
            <w:vMerge w:val="restart"/>
            <w:tcMar>
              <w:left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3.1制动性能试验</w:t>
            </w:r>
          </w:p>
        </w:tc>
        <w:tc>
          <w:tcPr>
            <w:tcW w:w="5670" w:type="dxa"/>
            <w:tcMar>
              <w:left w:w="57" w:type="dxa"/>
              <w:right w:w="57" w:type="dxa"/>
            </w:tcMar>
            <w:vAlign w:val="top"/>
          </w:tcPr>
          <w:p>
            <w:pPr>
              <w:pStyle w:val="19"/>
              <w:tabs>
                <w:tab w:val="left" w:pos="1136"/>
              </w:tabs>
              <w:spacing w:line="240" w:lineRule="auto"/>
              <w:ind w:firstLine="0"/>
              <w:jc w:val="both"/>
              <w:rPr>
                <w:rFonts w:hint="eastAsia"/>
                <w:bCs/>
                <w:lang w:eastAsia="zh-CN"/>
              </w:rPr>
            </w:pPr>
            <w:r>
              <w:rPr>
                <w:rFonts w:hint="eastAsia"/>
                <w:bCs/>
                <w:lang w:eastAsia="zh-CN"/>
              </w:rPr>
              <w:t>3.1.1坡道驻车制动试验：按照</w:t>
            </w:r>
            <w:r>
              <w:rPr>
                <w:bCs/>
                <w:lang w:eastAsia="zh-CN"/>
              </w:rPr>
              <w:t>GB/T 18849—2011</w:t>
            </w:r>
            <w:r>
              <w:rPr>
                <w:rFonts w:hint="eastAsia"/>
                <w:bCs/>
                <w:lang w:eastAsia="zh-CN"/>
              </w:rPr>
              <w:t>中</w:t>
            </w:r>
            <w:r>
              <w:rPr>
                <w:bCs/>
                <w:lang w:eastAsia="zh-CN"/>
              </w:rPr>
              <w:t>6.1</w:t>
            </w:r>
            <w:r>
              <w:rPr>
                <w:rFonts w:hint="eastAsia"/>
                <w:bCs/>
                <w:lang w:eastAsia="zh-CN"/>
              </w:rPr>
              <w:t>规定的工况、试验方法和要求进行试验，检查其结果是否符合标准要求。定期（首次）检验时，允许以无载状态在作业区域中较大坡道上进行试验</w:t>
            </w:r>
          </w:p>
        </w:tc>
        <w:tc>
          <w:tcPr>
            <w:tcW w:w="1073" w:type="dxa"/>
            <w:tcMar>
              <w:left w:w="57" w:type="dxa"/>
              <w:right w:w="57" w:type="dxa"/>
            </w:tcMar>
            <w:vAlign w:val="center"/>
          </w:tcPr>
          <w:p>
            <w:pPr>
              <w:jc w:val="center"/>
              <w:rPr>
                <w:rFonts w:hint="eastAsia" w:ascii="宋体" w:hAnsi="宋体" w:cs="宋体"/>
                <w:szCs w:val="21"/>
              </w:rPr>
            </w:pPr>
          </w:p>
        </w:tc>
        <w:tc>
          <w:tcPr>
            <w:tcW w:w="1073" w:type="dxa"/>
            <w:tcMar>
              <w:left w:w="57" w:type="dxa"/>
              <w:right w:w="57" w:type="dxa"/>
            </w:tcMar>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jc w:val="center"/>
        </w:trPr>
        <w:tc>
          <w:tcPr>
            <w:tcW w:w="456" w:type="dxa"/>
            <w:vMerge w:val="continue"/>
            <w:tcMar>
              <w:left w:w="57" w:type="dxa"/>
              <w:right w:w="57" w:type="dxa"/>
            </w:tcMar>
            <w:vAlign w:val="center"/>
          </w:tcPr>
          <w:p>
            <w:pPr>
              <w:pStyle w:val="23"/>
              <w:adjustRightInd w:val="0"/>
              <w:snapToGrid w:val="0"/>
              <w:ind w:firstLine="0" w:firstLineChars="0"/>
              <w:jc w:val="center"/>
              <w:rPr>
                <w:rFonts w:hint="eastAsia" w:ascii="宋体" w:hAnsi="宋体" w:cs="宋体"/>
                <w:szCs w:val="21"/>
              </w:rPr>
            </w:pPr>
          </w:p>
        </w:tc>
        <w:tc>
          <w:tcPr>
            <w:tcW w:w="619"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993" w:type="dxa"/>
            <w:vMerge w:val="continue"/>
            <w:tcMar>
              <w:left w:w="57" w:type="dxa"/>
              <w:right w:w="57" w:type="dxa"/>
            </w:tcMar>
            <w:vAlign w:val="center"/>
          </w:tcPr>
          <w:p>
            <w:pPr>
              <w:adjustRightInd w:val="0"/>
              <w:snapToGrid w:val="0"/>
              <w:jc w:val="left"/>
              <w:rPr>
                <w:rFonts w:hint="eastAsia" w:ascii="宋体" w:hAnsi="宋体" w:cs="宋体"/>
                <w:szCs w:val="21"/>
              </w:rPr>
            </w:pPr>
          </w:p>
        </w:tc>
        <w:tc>
          <w:tcPr>
            <w:tcW w:w="5670" w:type="dxa"/>
            <w:tcMar>
              <w:left w:w="57" w:type="dxa"/>
              <w:right w:w="57" w:type="dxa"/>
            </w:tcMar>
            <w:vAlign w:val="top"/>
          </w:tcPr>
          <w:p>
            <w:pPr>
              <w:pStyle w:val="19"/>
              <w:tabs>
                <w:tab w:val="left" w:pos="1136"/>
              </w:tabs>
              <w:spacing w:line="240" w:lineRule="auto"/>
              <w:ind w:firstLine="0"/>
              <w:jc w:val="both"/>
              <w:rPr>
                <w:rFonts w:hint="eastAsia"/>
                <w:bCs/>
                <w:lang w:eastAsia="zh-CN"/>
              </w:rPr>
            </w:pPr>
            <w:r>
              <w:rPr>
                <w:rFonts w:hint="eastAsia"/>
                <w:bCs/>
                <w:lang w:eastAsia="zh-CN"/>
              </w:rPr>
              <w:t>3.1.2制动距离测定：</w:t>
            </w:r>
            <w:r>
              <w:rPr>
                <w:bCs/>
                <w:lang w:eastAsia="zh-CN"/>
              </w:rPr>
              <w:t>按照GB/T 18849—2011中6.2.1规定的工况、</w:t>
            </w:r>
            <w:r>
              <w:rPr>
                <w:rFonts w:hint="eastAsia"/>
                <w:bCs/>
                <w:lang w:eastAsia="zh-CN"/>
              </w:rPr>
              <w:t>试验方法</w:t>
            </w:r>
            <w:r>
              <w:rPr>
                <w:bCs/>
                <w:lang w:eastAsia="zh-CN"/>
              </w:rPr>
              <w:t>和要求进行试验，检查其结果是否符合标准要求。定期（首次）检验时，允许以</w:t>
            </w:r>
            <w:r>
              <w:rPr>
                <w:rFonts w:hint="eastAsia"/>
                <w:bCs/>
                <w:lang w:eastAsia="zh-CN"/>
              </w:rPr>
              <w:t>无载</w:t>
            </w:r>
            <w:r>
              <w:rPr>
                <w:bCs/>
                <w:lang w:eastAsia="zh-CN"/>
              </w:rPr>
              <w:t>工况和检验现场实际可达到的最大车速进行试验。</w:t>
            </w:r>
          </w:p>
        </w:tc>
        <w:tc>
          <w:tcPr>
            <w:tcW w:w="1073" w:type="dxa"/>
            <w:tcMar>
              <w:left w:w="57" w:type="dxa"/>
              <w:right w:w="57" w:type="dxa"/>
            </w:tcMar>
            <w:vAlign w:val="center"/>
          </w:tcPr>
          <w:p>
            <w:pPr>
              <w:jc w:val="right"/>
              <w:rPr>
                <w:rFonts w:hint="eastAsia" w:ascii="宋体" w:hAnsi="宋体" w:cs="宋体"/>
                <w:szCs w:val="21"/>
              </w:rPr>
            </w:pPr>
          </w:p>
        </w:tc>
        <w:tc>
          <w:tcPr>
            <w:tcW w:w="1073" w:type="dxa"/>
            <w:tcMar>
              <w:left w:w="57" w:type="dxa"/>
              <w:right w:w="57" w:type="dxa"/>
            </w:tcMar>
            <w:vAlign w:val="center"/>
          </w:tcPr>
          <w:p>
            <w:pPr>
              <w:jc w:val="right"/>
              <w:rPr>
                <w:rFonts w:hint="eastAsia" w:ascii="宋体" w:hAnsi="宋体" w:cs="宋体"/>
                <w:szCs w:val="21"/>
              </w:rPr>
            </w:pPr>
          </w:p>
        </w:tc>
      </w:tr>
    </w:tbl>
    <w:p>
      <w:pPr>
        <w:jc w:val="center"/>
        <w:rPr>
          <w:rFonts w:hint="eastAsia" w:ascii="宋体" w:hAnsi="宋体" w:cs="宋体"/>
          <w:szCs w:val="21"/>
        </w:rPr>
      </w:pPr>
      <w:bookmarkStart w:id="28" w:name="_GoBack"/>
      <w:bookmarkEnd w:id="28"/>
    </w:p>
    <w:sectPr>
      <w:pgSz w:w="11906" w:h="16838"/>
      <w:pgMar w:top="1440" w:right="849" w:bottom="993" w:left="993" w:header="851" w:footer="41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30600813">
    <w:nsid w:val="4F4F5B6D"/>
    <w:multiLevelType w:val="multilevel"/>
    <w:tmpl w:val="4F4F5B6D"/>
    <w:lvl w:ilvl="0" w:tentative="1">
      <w:start w:val="1"/>
      <w:numFmt w:val="decimal"/>
      <w:lvlText w:val="%1"/>
      <w:lvlJc w:val="left"/>
      <w:pPr>
        <w:ind w:left="4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3306008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M0MzJkMDFmZmNlNjI4NGVhOGVkNTQ4ODRjMmZmNjAifQ=="/>
  </w:docVars>
  <w:rsids>
    <w:rsidRoot w:val="00EA2EBD"/>
    <w:rsid w:val="0001771E"/>
    <w:rsid w:val="00021D59"/>
    <w:rsid w:val="0005573F"/>
    <w:rsid w:val="000558B2"/>
    <w:rsid w:val="00060420"/>
    <w:rsid w:val="00075F87"/>
    <w:rsid w:val="00087439"/>
    <w:rsid w:val="00092F7A"/>
    <w:rsid w:val="0009328D"/>
    <w:rsid w:val="00097955"/>
    <w:rsid w:val="000B1889"/>
    <w:rsid w:val="000B4ADD"/>
    <w:rsid w:val="000D6E49"/>
    <w:rsid w:val="000E0238"/>
    <w:rsid w:val="000E288D"/>
    <w:rsid w:val="000E3687"/>
    <w:rsid w:val="000E39BD"/>
    <w:rsid w:val="000E5C0E"/>
    <w:rsid w:val="00117998"/>
    <w:rsid w:val="0012749D"/>
    <w:rsid w:val="001303AA"/>
    <w:rsid w:val="00132806"/>
    <w:rsid w:val="00143AA5"/>
    <w:rsid w:val="00143FD0"/>
    <w:rsid w:val="00143FFC"/>
    <w:rsid w:val="00147F98"/>
    <w:rsid w:val="0015499C"/>
    <w:rsid w:val="00164566"/>
    <w:rsid w:val="00174221"/>
    <w:rsid w:val="00175A79"/>
    <w:rsid w:val="001769FA"/>
    <w:rsid w:val="00186EFF"/>
    <w:rsid w:val="00192A5D"/>
    <w:rsid w:val="001956E0"/>
    <w:rsid w:val="001C151C"/>
    <w:rsid w:val="001D09F4"/>
    <w:rsid w:val="001D3853"/>
    <w:rsid w:val="001D651D"/>
    <w:rsid w:val="001F46E7"/>
    <w:rsid w:val="0020796C"/>
    <w:rsid w:val="00212A5E"/>
    <w:rsid w:val="0021544A"/>
    <w:rsid w:val="002231EA"/>
    <w:rsid w:val="00225B07"/>
    <w:rsid w:val="002624D8"/>
    <w:rsid w:val="002664A8"/>
    <w:rsid w:val="00271F99"/>
    <w:rsid w:val="00286A51"/>
    <w:rsid w:val="00291131"/>
    <w:rsid w:val="00294FDA"/>
    <w:rsid w:val="0029558A"/>
    <w:rsid w:val="002A5A70"/>
    <w:rsid w:val="002C0AD9"/>
    <w:rsid w:val="002C63E0"/>
    <w:rsid w:val="002D10E8"/>
    <w:rsid w:val="00307292"/>
    <w:rsid w:val="0031783D"/>
    <w:rsid w:val="00322F11"/>
    <w:rsid w:val="00350AA2"/>
    <w:rsid w:val="00352B29"/>
    <w:rsid w:val="003768A3"/>
    <w:rsid w:val="003811D4"/>
    <w:rsid w:val="00390F76"/>
    <w:rsid w:val="003C4156"/>
    <w:rsid w:val="003F1052"/>
    <w:rsid w:val="00403E37"/>
    <w:rsid w:val="0040421D"/>
    <w:rsid w:val="004260BA"/>
    <w:rsid w:val="00427A9E"/>
    <w:rsid w:val="0043091F"/>
    <w:rsid w:val="00457256"/>
    <w:rsid w:val="00460579"/>
    <w:rsid w:val="00463113"/>
    <w:rsid w:val="004710B4"/>
    <w:rsid w:val="00473421"/>
    <w:rsid w:val="00483D64"/>
    <w:rsid w:val="00491D58"/>
    <w:rsid w:val="004A40BD"/>
    <w:rsid w:val="004C1BC8"/>
    <w:rsid w:val="004C1FEF"/>
    <w:rsid w:val="004C7B73"/>
    <w:rsid w:val="004E37E9"/>
    <w:rsid w:val="004E682F"/>
    <w:rsid w:val="004E7CC6"/>
    <w:rsid w:val="005172BD"/>
    <w:rsid w:val="0053659B"/>
    <w:rsid w:val="00552DAD"/>
    <w:rsid w:val="00561DD5"/>
    <w:rsid w:val="005624BB"/>
    <w:rsid w:val="00562940"/>
    <w:rsid w:val="00583BDD"/>
    <w:rsid w:val="005842FB"/>
    <w:rsid w:val="005C1E71"/>
    <w:rsid w:val="005C5C6D"/>
    <w:rsid w:val="005D68E3"/>
    <w:rsid w:val="005D70AB"/>
    <w:rsid w:val="005E7211"/>
    <w:rsid w:val="005F70B3"/>
    <w:rsid w:val="00603A0A"/>
    <w:rsid w:val="00611793"/>
    <w:rsid w:val="00612163"/>
    <w:rsid w:val="006159BB"/>
    <w:rsid w:val="0062090D"/>
    <w:rsid w:val="006258A3"/>
    <w:rsid w:val="0065181C"/>
    <w:rsid w:val="0065376D"/>
    <w:rsid w:val="00663294"/>
    <w:rsid w:val="0067331C"/>
    <w:rsid w:val="006A07A8"/>
    <w:rsid w:val="006B0162"/>
    <w:rsid w:val="006B70A8"/>
    <w:rsid w:val="006C5055"/>
    <w:rsid w:val="006C72B3"/>
    <w:rsid w:val="006D1F1A"/>
    <w:rsid w:val="006D2431"/>
    <w:rsid w:val="006E031E"/>
    <w:rsid w:val="006F2D3C"/>
    <w:rsid w:val="00703CBC"/>
    <w:rsid w:val="007048EE"/>
    <w:rsid w:val="00706C2F"/>
    <w:rsid w:val="00717E6B"/>
    <w:rsid w:val="00724933"/>
    <w:rsid w:val="00727A8B"/>
    <w:rsid w:val="00732C6E"/>
    <w:rsid w:val="00737A42"/>
    <w:rsid w:val="0077145F"/>
    <w:rsid w:val="007737D3"/>
    <w:rsid w:val="00791232"/>
    <w:rsid w:val="007923B7"/>
    <w:rsid w:val="007979F2"/>
    <w:rsid w:val="007B24FE"/>
    <w:rsid w:val="007B7779"/>
    <w:rsid w:val="007C6010"/>
    <w:rsid w:val="007C7540"/>
    <w:rsid w:val="007F112C"/>
    <w:rsid w:val="007F18CC"/>
    <w:rsid w:val="007F293B"/>
    <w:rsid w:val="008241AC"/>
    <w:rsid w:val="00837A53"/>
    <w:rsid w:val="008558E6"/>
    <w:rsid w:val="008722F8"/>
    <w:rsid w:val="00876D5C"/>
    <w:rsid w:val="008802E2"/>
    <w:rsid w:val="008D7744"/>
    <w:rsid w:val="008F223F"/>
    <w:rsid w:val="009014C8"/>
    <w:rsid w:val="00904AFD"/>
    <w:rsid w:val="00907C8C"/>
    <w:rsid w:val="00912324"/>
    <w:rsid w:val="009127C6"/>
    <w:rsid w:val="0091582C"/>
    <w:rsid w:val="00917A3E"/>
    <w:rsid w:val="00923D77"/>
    <w:rsid w:val="00925E23"/>
    <w:rsid w:val="00927A56"/>
    <w:rsid w:val="009307D4"/>
    <w:rsid w:val="0094214D"/>
    <w:rsid w:val="00952C77"/>
    <w:rsid w:val="00976B5B"/>
    <w:rsid w:val="00981DE1"/>
    <w:rsid w:val="00987F1F"/>
    <w:rsid w:val="009B6C08"/>
    <w:rsid w:val="009D1893"/>
    <w:rsid w:val="009E59E0"/>
    <w:rsid w:val="00A0418F"/>
    <w:rsid w:val="00A22187"/>
    <w:rsid w:val="00A250FA"/>
    <w:rsid w:val="00A25847"/>
    <w:rsid w:val="00A362BF"/>
    <w:rsid w:val="00A43902"/>
    <w:rsid w:val="00A47290"/>
    <w:rsid w:val="00A56996"/>
    <w:rsid w:val="00A8345F"/>
    <w:rsid w:val="00A85DB8"/>
    <w:rsid w:val="00A861C4"/>
    <w:rsid w:val="00A96948"/>
    <w:rsid w:val="00A96D3A"/>
    <w:rsid w:val="00AA6591"/>
    <w:rsid w:val="00AA677B"/>
    <w:rsid w:val="00AA7436"/>
    <w:rsid w:val="00AC1C8E"/>
    <w:rsid w:val="00AC41A4"/>
    <w:rsid w:val="00AC6A3C"/>
    <w:rsid w:val="00AC7D21"/>
    <w:rsid w:val="00AE3835"/>
    <w:rsid w:val="00AE5E7A"/>
    <w:rsid w:val="00B13B4F"/>
    <w:rsid w:val="00B31D19"/>
    <w:rsid w:val="00B36A70"/>
    <w:rsid w:val="00B4372E"/>
    <w:rsid w:val="00B45DF1"/>
    <w:rsid w:val="00B47FDC"/>
    <w:rsid w:val="00B645E0"/>
    <w:rsid w:val="00B662E8"/>
    <w:rsid w:val="00B67413"/>
    <w:rsid w:val="00B71755"/>
    <w:rsid w:val="00B73C40"/>
    <w:rsid w:val="00B94E57"/>
    <w:rsid w:val="00BA48C0"/>
    <w:rsid w:val="00BA7DA7"/>
    <w:rsid w:val="00BB2777"/>
    <w:rsid w:val="00BC0386"/>
    <w:rsid w:val="00BC675E"/>
    <w:rsid w:val="00BE346C"/>
    <w:rsid w:val="00BF7746"/>
    <w:rsid w:val="00BF778A"/>
    <w:rsid w:val="00C067E6"/>
    <w:rsid w:val="00C1085C"/>
    <w:rsid w:val="00C22B9B"/>
    <w:rsid w:val="00C23182"/>
    <w:rsid w:val="00C310B2"/>
    <w:rsid w:val="00C31168"/>
    <w:rsid w:val="00C418D2"/>
    <w:rsid w:val="00C5273B"/>
    <w:rsid w:val="00C65E46"/>
    <w:rsid w:val="00C67EFA"/>
    <w:rsid w:val="00C74639"/>
    <w:rsid w:val="00C94B5E"/>
    <w:rsid w:val="00C954A3"/>
    <w:rsid w:val="00C95FA3"/>
    <w:rsid w:val="00C97C79"/>
    <w:rsid w:val="00CD5D3F"/>
    <w:rsid w:val="00CD6EAA"/>
    <w:rsid w:val="00CD78EE"/>
    <w:rsid w:val="00CF2FAD"/>
    <w:rsid w:val="00D006A6"/>
    <w:rsid w:val="00D042B2"/>
    <w:rsid w:val="00D101DF"/>
    <w:rsid w:val="00D11BE4"/>
    <w:rsid w:val="00D13BB7"/>
    <w:rsid w:val="00D23DF2"/>
    <w:rsid w:val="00D34B9E"/>
    <w:rsid w:val="00D37C9F"/>
    <w:rsid w:val="00D50171"/>
    <w:rsid w:val="00D70C6D"/>
    <w:rsid w:val="00D72FF0"/>
    <w:rsid w:val="00D77088"/>
    <w:rsid w:val="00D77FE7"/>
    <w:rsid w:val="00D83360"/>
    <w:rsid w:val="00D95EA0"/>
    <w:rsid w:val="00DA706E"/>
    <w:rsid w:val="00DC2471"/>
    <w:rsid w:val="00DD0002"/>
    <w:rsid w:val="00DD41A1"/>
    <w:rsid w:val="00DE44B5"/>
    <w:rsid w:val="00DF42F5"/>
    <w:rsid w:val="00DF56F8"/>
    <w:rsid w:val="00DF759D"/>
    <w:rsid w:val="00E02F69"/>
    <w:rsid w:val="00E043F7"/>
    <w:rsid w:val="00E572F8"/>
    <w:rsid w:val="00E61FDA"/>
    <w:rsid w:val="00E64BDD"/>
    <w:rsid w:val="00E659F7"/>
    <w:rsid w:val="00E753EF"/>
    <w:rsid w:val="00E905F0"/>
    <w:rsid w:val="00E93155"/>
    <w:rsid w:val="00E97D31"/>
    <w:rsid w:val="00EA2EBD"/>
    <w:rsid w:val="00EB0C25"/>
    <w:rsid w:val="00EB5640"/>
    <w:rsid w:val="00EB5924"/>
    <w:rsid w:val="00EC41B0"/>
    <w:rsid w:val="00ED3A1F"/>
    <w:rsid w:val="00EE5985"/>
    <w:rsid w:val="00EF11C9"/>
    <w:rsid w:val="00EF24F1"/>
    <w:rsid w:val="00EF3B74"/>
    <w:rsid w:val="00F11362"/>
    <w:rsid w:val="00F1488D"/>
    <w:rsid w:val="00F26064"/>
    <w:rsid w:val="00F266D3"/>
    <w:rsid w:val="00F521BB"/>
    <w:rsid w:val="00F623E1"/>
    <w:rsid w:val="00F66ED4"/>
    <w:rsid w:val="00F76716"/>
    <w:rsid w:val="00F77B0B"/>
    <w:rsid w:val="00F80174"/>
    <w:rsid w:val="00F8608E"/>
    <w:rsid w:val="00F97263"/>
    <w:rsid w:val="00FA76C8"/>
    <w:rsid w:val="00FB272E"/>
    <w:rsid w:val="00FB2B55"/>
    <w:rsid w:val="00FC32F0"/>
    <w:rsid w:val="00FD365A"/>
    <w:rsid w:val="00FE3B2F"/>
    <w:rsid w:val="00FF025E"/>
    <w:rsid w:val="0135670B"/>
    <w:rsid w:val="01FD7446"/>
    <w:rsid w:val="021855EF"/>
    <w:rsid w:val="02587B1D"/>
    <w:rsid w:val="03522DEE"/>
    <w:rsid w:val="04A31ECD"/>
    <w:rsid w:val="05142ED0"/>
    <w:rsid w:val="052E6746"/>
    <w:rsid w:val="055224AE"/>
    <w:rsid w:val="066C2647"/>
    <w:rsid w:val="06953DB7"/>
    <w:rsid w:val="07252049"/>
    <w:rsid w:val="07DA2AFB"/>
    <w:rsid w:val="07DF17F7"/>
    <w:rsid w:val="0891256A"/>
    <w:rsid w:val="08DE50B8"/>
    <w:rsid w:val="09326B08"/>
    <w:rsid w:val="096741A6"/>
    <w:rsid w:val="0A160736"/>
    <w:rsid w:val="0B0E0003"/>
    <w:rsid w:val="0C2E08C9"/>
    <w:rsid w:val="0C565B2A"/>
    <w:rsid w:val="0C7510E0"/>
    <w:rsid w:val="0CA175BB"/>
    <w:rsid w:val="0CA34A9D"/>
    <w:rsid w:val="0CFF6A01"/>
    <w:rsid w:val="0D9843A1"/>
    <w:rsid w:val="0E2D7BA4"/>
    <w:rsid w:val="0ECD3CBC"/>
    <w:rsid w:val="0F254639"/>
    <w:rsid w:val="10A2181B"/>
    <w:rsid w:val="1156505A"/>
    <w:rsid w:val="128823A1"/>
    <w:rsid w:val="12A47112"/>
    <w:rsid w:val="13633D13"/>
    <w:rsid w:val="137C690D"/>
    <w:rsid w:val="13C92510"/>
    <w:rsid w:val="141226C7"/>
    <w:rsid w:val="151926E5"/>
    <w:rsid w:val="1594388B"/>
    <w:rsid w:val="15A421F8"/>
    <w:rsid w:val="15B644E0"/>
    <w:rsid w:val="160072EF"/>
    <w:rsid w:val="16764CEA"/>
    <w:rsid w:val="168A398A"/>
    <w:rsid w:val="180B6B5D"/>
    <w:rsid w:val="185A1D68"/>
    <w:rsid w:val="18CD64EE"/>
    <w:rsid w:val="1AC23507"/>
    <w:rsid w:val="1BC00ABD"/>
    <w:rsid w:val="1BE46903"/>
    <w:rsid w:val="1CDE44E9"/>
    <w:rsid w:val="1D150771"/>
    <w:rsid w:val="1DD70F61"/>
    <w:rsid w:val="1DE8772C"/>
    <w:rsid w:val="1DEA10B0"/>
    <w:rsid w:val="20E74716"/>
    <w:rsid w:val="20E806FC"/>
    <w:rsid w:val="21D677C5"/>
    <w:rsid w:val="21F81026"/>
    <w:rsid w:val="22340C03"/>
    <w:rsid w:val="23A86C0B"/>
    <w:rsid w:val="24CD66B2"/>
    <w:rsid w:val="24FD4632"/>
    <w:rsid w:val="25225F12"/>
    <w:rsid w:val="25290CE0"/>
    <w:rsid w:val="25527688"/>
    <w:rsid w:val="256730ED"/>
    <w:rsid w:val="26AB6214"/>
    <w:rsid w:val="26C76D84"/>
    <w:rsid w:val="26D12D74"/>
    <w:rsid w:val="28CA1CC5"/>
    <w:rsid w:val="29C20A14"/>
    <w:rsid w:val="2A1565DF"/>
    <w:rsid w:val="2A2F09CD"/>
    <w:rsid w:val="2A997848"/>
    <w:rsid w:val="2B5D1C22"/>
    <w:rsid w:val="2D3A362E"/>
    <w:rsid w:val="2D745C11"/>
    <w:rsid w:val="2DCE4C69"/>
    <w:rsid w:val="2F082835"/>
    <w:rsid w:val="2F4A268F"/>
    <w:rsid w:val="2F4F6D62"/>
    <w:rsid w:val="2F95538D"/>
    <w:rsid w:val="2FC274B3"/>
    <w:rsid w:val="30734B10"/>
    <w:rsid w:val="311C2B97"/>
    <w:rsid w:val="31C55296"/>
    <w:rsid w:val="31EF51A5"/>
    <w:rsid w:val="327B02DE"/>
    <w:rsid w:val="332C1992"/>
    <w:rsid w:val="33D33712"/>
    <w:rsid w:val="34227476"/>
    <w:rsid w:val="3446476F"/>
    <w:rsid w:val="34876561"/>
    <w:rsid w:val="34B740ED"/>
    <w:rsid w:val="35A001A0"/>
    <w:rsid w:val="361200BD"/>
    <w:rsid w:val="36831604"/>
    <w:rsid w:val="369471A1"/>
    <w:rsid w:val="36A278A1"/>
    <w:rsid w:val="36B8002C"/>
    <w:rsid w:val="36E524F6"/>
    <w:rsid w:val="376A0963"/>
    <w:rsid w:val="389403D6"/>
    <w:rsid w:val="398C741E"/>
    <w:rsid w:val="39B77070"/>
    <w:rsid w:val="3A2A4245"/>
    <w:rsid w:val="3A3273C7"/>
    <w:rsid w:val="3AE0564B"/>
    <w:rsid w:val="3BBD09D8"/>
    <w:rsid w:val="3BE05167"/>
    <w:rsid w:val="3BE10613"/>
    <w:rsid w:val="3C3660C5"/>
    <w:rsid w:val="3C864ADA"/>
    <w:rsid w:val="3D102174"/>
    <w:rsid w:val="3D7504FF"/>
    <w:rsid w:val="3E201EB8"/>
    <w:rsid w:val="3E6F5942"/>
    <w:rsid w:val="3E991C86"/>
    <w:rsid w:val="3ED31820"/>
    <w:rsid w:val="3EDB2C7D"/>
    <w:rsid w:val="3EF7028E"/>
    <w:rsid w:val="3F3F5E93"/>
    <w:rsid w:val="3F992757"/>
    <w:rsid w:val="3FAA2920"/>
    <w:rsid w:val="3FEE7761"/>
    <w:rsid w:val="406D3D4C"/>
    <w:rsid w:val="41547744"/>
    <w:rsid w:val="41E524A0"/>
    <w:rsid w:val="437A048D"/>
    <w:rsid w:val="44361671"/>
    <w:rsid w:val="44C46B99"/>
    <w:rsid w:val="45654FA4"/>
    <w:rsid w:val="459679EB"/>
    <w:rsid w:val="45D80195"/>
    <w:rsid w:val="469065DD"/>
    <w:rsid w:val="46B7346B"/>
    <w:rsid w:val="46BC369C"/>
    <w:rsid w:val="47490A72"/>
    <w:rsid w:val="477A175E"/>
    <w:rsid w:val="477B6502"/>
    <w:rsid w:val="482360E6"/>
    <w:rsid w:val="49EA03FA"/>
    <w:rsid w:val="4A044380"/>
    <w:rsid w:val="4A217429"/>
    <w:rsid w:val="4C147660"/>
    <w:rsid w:val="4C8D1C9D"/>
    <w:rsid w:val="4D2F2462"/>
    <w:rsid w:val="4D5867C0"/>
    <w:rsid w:val="4F276A20"/>
    <w:rsid w:val="4FB447EA"/>
    <w:rsid w:val="501C58F6"/>
    <w:rsid w:val="50DA7A7D"/>
    <w:rsid w:val="514A216C"/>
    <w:rsid w:val="51C61AD3"/>
    <w:rsid w:val="526F72BE"/>
    <w:rsid w:val="53560E18"/>
    <w:rsid w:val="536536D4"/>
    <w:rsid w:val="53E24E56"/>
    <w:rsid w:val="545E0A7A"/>
    <w:rsid w:val="54AD790C"/>
    <w:rsid w:val="54E009E6"/>
    <w:rsid w:val="558169FC"/>
    <w:rsid w:val="5687128E"/>
    <w:rsid w:val="57995864"/>
    <w:rsid w:val="57F55416"/>
    <w:rsid w:val="580360A2"/>
    <w:rsid w:val="582E1335"/>
    <w:rsid w:val="588D75FD"/>
    <w:rsid w:val="59282099"/>
    <w:rsid w:val="594A185C"/>
    <w:rsid w:val="59A2321A"/>
    <w:rsid w:val="59DB533D"/>
    <w:rsid w:val="59DB539F"/>
    <w:rsid w:val="59F92C00"/>
    <w:rsid w:val="5A700847"/>
    <w:rsid w:val="5A904054"/>
    <w:rsid w:val="5AB750E8"/>
    <w:rsid w:val="5AFF1B08"/>
    <w:rsid w:val="5BC24EA6"/>
    <w:rsid w:val="5CB603BD"/>
    <w:rsid w:val="5CBA29C9"/>
    <w:rsid w:val="5D093302"/>
    <w:rsid w:val="5D75739C"/>
    <w:rsid w:val="5D78167A"/>
    <w:rsid w:val="5F792AA2"/>
    <w:rsid w:val="5F9823AB"/>
    <w:rsid w:val="60CE3BD3"/>
    <w:rsid w:val="60F30091"/>
    <w:rsid w:val="60FA4407"/>
    <w:rsid w:val="61B9722C"/>
    <w:rsid w:val="61E1434E"/>
    <w:rsid w:val="62214970"/>
    <w:rsid w:val="630540CA"/>
    <w:rsid w:val="635A06B4"/>
    <w:rsid w:val="638A75B0"/>
    <w:rsid w:val="65406C39"/>
    <w:rsid w:val="65662B9F"/>
    <w:rsid w:val="656C21B9"/>
    <w:rsid w:val="65B26F48"/>
    <w:rsid w:val="6621749E"/>
    <w:rsid w:val="679E43E8"/>
    <w:rsid w:val="67EE16B9"/>
    <w:rsid w:val="68451577"/>
    <w:rsid w:val="68F748FD"/>
    <w:rsid w:val="69475A9C"/>
    <w:rsid w:val="69B2558B"/>
    <w:rsid w:val="6A0C77E1"/>
    <w:rsid w:val="6B0429C9"/>
    <w:rsid w:val="6B3B121F"/>
    <w:rsid w:val="6B972D20"/>
    <w:rsid w:val="6CD3659C"/>
    <w:rsid w:val="6D03271E"/>
    <w:rsid w:val="6DCF0F6D"/>
    <w:rsid w:val="6E7D3CCD"/>
    <w:rsid w:val="6F136C67"/>
    <w:rsid w:val="6F6D140D"/>
    <w:rsid w:val="6FBB4052"/>
    <w:rsid w:val="700D554E"/>
    <w:rsid w:val="703A5F6E"/>
    <w:rsid w:val="70CD4D22"/>
    <w:rsid w:val="70EE7328"/>
    <w:rsid w:val="715259AB"/>
    <w:rsid w:val="724A018A"/>
    <w:rsid w:val="72D667B6"/>
    <w:rsid w:val="738D36CB"/>
    <w:rsid w:val="74216583"/>
    <w:rsid w:val="74C32732"/>
    <w:rsid w:val="74C92DE8"/>
    <w:rsid w:val="75232A78"/>
    <w:rsid w:val="75D30CCE"/>
    <w:rsid w:val="7603634B"/>
    <w:rsid w:val="76A154AD"/>
    <w:rsid w:val="76A9613C"/>
    <w:rsid w:val="778828DC"/>
    <w:rsid w:val="778E7640"/>
    <w:rsid w:val="778F4E67"/>
    <w:rsid w:val="77FF33C8"/>
    <w:rsid w:val="780710BA"/>
    <w:rsid w:val="783F15ED"/>
    <w:rsid w:val="7858795F"/>
    <w:rsid w:val="787E1FA9"/>
    <w:rsid w:val="78F338DB"/>
    <w:rsid w:val="79890023"/>
    <w:rsid w:val="799B1529"/>
    <w:rsid w:val="79BD512E"/>
    <w:rsid w:val="79F7352B"/>
    <w:rsid w:val="7A600152"/>
    <w:rsid w:val="7A7E3E7E"/>
    <w:rsid w:val="7AC94283"/>
    <w:rsid w:val="7ADF72E4"/>
    <w:rsid w:val="7AE771F0"/>
    <w:rsid w:val="7B655894"/>
    <w:rsid w:val="7BB95F5A"/>
    <w:rsid w:val="7C734E48"/>
    <w:rsid w:val="7CAC699B"/>
    <w:rsid w:val="7CB9437B"/>
    <w:rsid w:val="7D4601FD"/>
    <w:rsid w:val="7EC508B9"/>
    <w:rsid w:val="7F17721C"/>
    <w:rsid w:val="7FEC654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semiHidden="0" w:name="annotation text"/>
    <w:lsdException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99" w:name="Body Text 2"/>
    <w:lsdException w:uiPriority="0" w:name="Body Text 3"/>
    <w:lsdException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nhideWhenUsed="0" w:uiPriority="99"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unhideWhenUsed/>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2">
    <w:name w:val="annotation text"/>
    <w:basedOn w:val="1"/>
    <w:link w:val="39"/>
    <w:uiPriority w:val="99"/>
    <w:pPr>
      <w:jc w:val="left"/>
    </w:pPr>
  </w:style>
  <w:style w:type="paragraph" w:styleId="3">
    <w:name w:val="Plain Text"/>
    <w:basedOn w:val="1"/>
    <w:link w:val="38"/>
    <w:uiPriority w:val="99"/>
    <w:rPr>
      <w:rFonts w:ascii="宋体" w:hAnsi="Courier New"/>
      <w:kern w:val="0"/>
      <w:sz w:val="19"/>
    </w:rPr>
  </w:style>
  <w:style w:type="paragraph" w:styleId="4">
    <w:name w:val="Body Text Indent 2"/>
    <w:basedOn w:val="1"/>
    <w:link w:val="25"/>
    <w:uiPriority w:val="99"/>
    <w:pPr>
      <w:spacing w:after="120" w:line="480" w:lineRule="auto"/>
      <w:ind w:left="420" w:leftChars="200"/>
    </w:pPr>
  </w:style>
  <w:style w:type="paragraph" w:styleId="5">
    <w:name w:val="Balloon Text"/>
    <w:basedOn w:val="1"/>
    <w:link w:val="27"/>
    <w:semiHidden/>
    <w:uiPriority w:val="99"/>
    <w:rPr>
      <w:sz w:val="18"/>
      <w:szCs w:val="18"/>
    </w:rPr>
  </w:style>
  <w:style w:type="paragraph" w:styleId="6">
    <w:name w:val="footer"/>
    <w:basedOn w:val="1"/>
    <w:link w:val="35"/>
    <w:uiPriority w:val="99"/>
    <w:pPr>
      <w:tabs>
        <w:tab w:val="center" w:pos="4153"/>
        <w:tab w:val="right" w:pos="8306"/>
      </w:tabs>
      <w:snapToGrid w:val="0"/>
      <w:jc w:val="left"/>
    </w:pPr>
    <w:rPr>
      <w:rFonts w:ascii="Calibri" w:hAnsi="Calibri"/>
      <w:sz w:val="18"/>
      <w:szCs w:val="18"/>
    </w:rPr>
  </w:style>
  <w:style w:type="paragraph" w:styleId="7">
    <w:name w:val="header"/>
    <w:basedOn w:val="1"/>
    <w:link w:val="30"/>
    <w:semiHidden/>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Body Text 2"/>
    <w:basedOn w:val="1"/>
    <w:link w:val="33"/>
    <w:semiHidden/>
    <w:uiPriority w:val="99"/>
    <w:pPr>
      <w:spacing w:after="120" w:line="480" w:lineRule="auto"/>
    </w:pPr>
  </w:style>
  <w:style w:type="paragraph" w:styleId="9">
    <w:name w:val="Normal (Web)"/>
    <w:basedOn w:val="1"/>
    <w:uiPriority w:val="99"/>
    <w:pPr>
      <w:widowControl/>
      <w:spacing w:before="100" w:beforeAutospacing="1" w:after="100" w:afterAutospacing="1"/>
      <w:jc w:val="left"/>
    </w:pPr>
    <w:rPr>
      <w:rFonts w:ascii="宋体" w:hAnsi="宋体"/>
      <w:kern w:val="0"/>
      <w:sz w:val="24"/>
      <w:szCs w:val="24"/>
    </w:rPr>
  </w:style>
  <w:style w:type="paragraph" w:styleId="10">
    <w:name w:val="Title"/>
    <w:basedOn w:val="1"/>
    <w:link w:val="31"/>
    <w:qFormat/>
    <w:uiPriority w:val="99"/>
    <w:pPr>
      <w:spacing w:before="240" w:after="60"/>
      <w:jc w:val="center"/>
      <w:outlineLvl w:val="0"/>
    </w:pPr>
    <w:rPr>
      <w:rFonts w:ascii="Arial" w:hAnsi="Arial" w:cs="Arial"/>
      <w:b/>
      <w:bCs/>
      <w:sz w:val="32"/>
      <w:szCs w:val="32"/>
    </w:rPr>
  </w:style>
  <w:style w:type="character" w:styleId="12">
    <w:name w:val="page number"/>
    <w:basedOn w:val="11"/>
    <w:uiPriority w:val="99"/>
    <w:rPr>
      <w:rFonts w:cs="Times New Roman"/>
    </w:rPr>
  </w:style>
  <w:style w:type="table" w:styleId="14">
    <w:name w:val="Table Grid"/>
    <w:basedOn w:val="13"/>
    <w:locked/>
    <w:uiPriority w:val="0"/>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5">
    <w:name w:val="样式6"/>
    <w:basedOn w:val="1"/>
    <w:next w:val="1"/>
    <w:link w:val="26"/>
    <w:qFormat/>
    <w:uiPriority w:val="99"/>
    <w:rPr>
      <w:rFonts w:ascii="Calibri" w:hAnsi="Calibri"/>
      <w:szCs w:val="22"/>
    </w:rPr>
  </w:style>
  <w:style w:type="paragraph" w:customStyle="1" w:styleId="16">
    <w:name w:val="Other|1"/>
    <w:basedOn w:val="1"/>
    <w:link w:val="28"/>
    <w:uiPriority w:val="0"/>
    <w:pPr>
      <w:spacing w:line="348" w:lineRule="auto"/>
      <w:ind w:firstLine="400"/>
      <w:jc w:val="left"/>
    </w:pPr>
    <w:rPr>
      <w:rFonts w:ascii="宋体" w:hAnsi="宋体" w:cs="宋体"/>
      <w:color w:val="000000"/>
      <w:kern w:val="0"/>
      <w:sz w:val="24"/>
      <w:szCs w:val="24"/>
      <w:lang w:val="zh-TW" w:eastAsia="zh-TW" w:bidi="zh-TW"/>
    </w:rPr>
  </w:style>
  <w:style w:type="paragraph" w:customStyle="1" w:styleId="17">
    <w:name w:val="样式2"/>
    <w:basedOn w:val="1"/>
    <w:next w:val="1"/>
    <w:link w:val="29"/>
    <w:qFormat/>
    <w:uiPriority w:val="99"/>
    <w:pPr>
      <w:widowControl/>
      <w:tabs>
        <w:tab w:val="left" w:pos="360"/>
      </w:tabs>
      <w:jc w:val="left"/>
      <w:outlineLvl w:val="2"/>
    </w:pPr>
    <w:rPr>
      <w:rFonts w:ascii="黑体" w:hAnsi="Calibri" w:eastAsia="黑体"/>
      <w:kern w:val="0"/>
      <w:sz w:val="28"/>
    </w:rPr>
  </w:style>
  <w:style w:type="paragraph" w:customStyle="1" w:styleId="18">
    <w:name w:val="Body text|7"/>
    <w:basedOn w:val="1"/>
    <w:link w:val="32"/>
    <w:uiPriority w:val="0"/>
    <w:pPr>
      <w:spacing w:after="420"/>
      <w:ind w:firstLine="480"/>
      <w:jc w:val="left"/>
    </w:pPr>
    <w:rPr>
      <w:rFonts w:ascii="Calibri" w:hAnsi="Calibri" w:cs="Calibri"/>
      <w:b/>
      <w:bCs/>
      <w:kern w:val="0"/>
      <w:sz w:val="19"/>
      <w:szCs w:val="19"/>
    </w:rPr>
  </w:style>
  <w:style w:type="paragraph" w:customStyle="1" w:styleId="19">
    <w:name w:val="Body text|1"/>
    <w:basedOn w:val="1"/>
    <w:link w:val="34"/>
    <w:uiPriority w:val="0"/>
    <w:pPr>
      <w:spacing w:line="348" w:lineRule="auto"/>
      <w:ind w:firstLine="400"/>
      <w:jc w:val="left"/>
    </w:pPr>
    <w:rPr>
      <w:rFonts w:ascii="宋体" w:hAnsi="宋体" w:eastAsia="宋体" w:cs="宋体"/>
      <w:kern w:val="0"/>
      <w:sz w:val="20"/>
      <w:lang w:val="zh-TW" w:eastAsia="zh-TW" w:bidi="zh-TW"/>
    </w:rPr>
  </w:style>
  <w:style w:type="paragraph" w:customStyle="1" w:styleId="20">
    <w:name w:val="Body text|2"/>
    <w:basedOn w:val="1"/>
    <w:link w:val="36"/>
    <w:uiPriority w:val="0"/>
    <w:pPr>
      <w:spacing w:line="355" w:lineRule="auto"/>
      <w:ind w:firstLine="500"/>
      <w:jc w:val="left"/>
    </w:pPr>
    <w:rPr>
      <w:rFonts w:ascii="Calibri" w:hAnsi="Calibri" w:cs="Calibri"/>
      <w:b/>
      <w:bCs/>
      <w:kern w:val="0"/>
      <w:sz w:val="20"/>
      <w:lang w:val="zh-TW" w:eastAsia="zh-TW" w:bidi="zh-TW"/>
    </w:rPr>
  </w:style>
  <w:style w:type="paragraph" w:customStyle="1" w:styleId="21">
    <w:name w:val="样式1"/>
    <w:basedOn w:val="1"/>
    <w:next w:val="1"/>
    <w:link w:val="37"/>
    <w:qFormat/>
    <w:uiPriority w:val="99"/>
    <w:pPr>
      <w:spacing w:line="400" w:lineRule="exact"/>
      <w:ind w:firstLine="480" w:firstLineChars="200"/>
      <w:outlineLvl w:val="0"/>
    </w:pPr>
    <w:rPr>
      <w:rFonts w:ascii="宋体" w:hAnsi="宋体"/>
      <w:bCs/>
      <w:sz w:val="24"/>
      <w:szCs w:val="24"/>
    </w:rPr>
  </w:style>
  <w:style w:type="paragraph" w:customStyle="1" w:styleId="22">
    <w:name w:val="2"/>
    <w:basedOn w:val="1"/>
    <w:next w:val="4"/>
    <w:uiPriority w:val="99"/>
    <w:pPr>
      <w:spacing w:line="360" w:lineRule="auto"/>
      <w:ind w:left="525" w:firstLine="480"/>
    </w:pPr>
  </w:style>
  <w:style w:type="paragraph" w:customStyle="1" w:styleId="23">
    <w:name w:val="List Paragraph"/>
    <w:basedOn w:val="1"/>
    <w:qFormat/>
    <w:uiPriority w:val="99"/>
    <w:pPr>
      <w:ind w:firstLine="420" w:firstLineChars="200"/>
    </w:pPr>
  </w:style>
  <w:style w:type="paragraph" w:customStyle="1" w:styleId="24">
    <w:name w:val="_Style 9"/>
    <w:basedOn w:val="1"/>
    <w:next w:val="8"/>
    <w:qFormat/>
    <w:uiPriority w:val="99"/>
    <w:pPr>
      <w:tabs>
        <w:tab w:val="left" w:pos="1860"/>
        <w:tab w:val="left" w:pos="3920"/>
      </w:tabs>
      <w:jc w:val="center"/>
    </w:pPr>
    <w:rPr>
      <w:rFonts w:ascii="宋体" w:hAnsi="宋体"/>
    </w:rPr>
  </w:style>
  <w:style w:type="character" w:customStyle="1" w:styleId="25">
    <w:name w:val="正文文本缩进 2 Char"/>
    <w:link w:val="4"/>
    <w:qFormat/>
    <w:locked/>
    <w:uiPriority w:val="99"/>
    <w:rPr>
      <w:rFonts w:ascii="Times New Roman" w:hAnsi="Times New Roman" w:eastAsia="宋体" w:cs="Times New Roman"/>
      <w:sz w:val="20"/>
      <w:szCs w:val="20"/>
    </w:rPr>
  </w:style>
  <w:style w:type="character" w:customStyle="1" w:styleId="26">
    <w:name w:val="样式6 Char"/>
    <w:link w:val="15"/>
    <w:qFormat/>
    <w:locked/>
    <w:uiPriority w:val="99"/>
    <w:rPr>
      <w:rFonts w:cs="Times New Roman"/>
    </w:rPr>
  </w:style>
  <w:style w:type="character" w:customStyle="1" w:styleId="27">
    <w:name w:val="批注框文本 Char"/>
    <w:link w:val="5"/>
    <w:semiHidden/>
    <w:qFormat/>
    <w:locked/>
    <w:uiPriority w:val="99"/>
    <w:rPr>
      <w:rFonts w:ascii="Times New Roman" w:hAnsi="Times New Roman" w:eastAsia="宋体" w:cs="Times New Roman"/>
      <w:sz w:val="18"/>
      <w:szCs w:val="18"/>
    </w:rPr>
  </w:style>
  <w:style w:type="character" w:customStyle="1" w:styleId="28">
    <w:name w:val="Other|1_"/>
    <w:link w:val="16"/>
    <w:uiPriority w:val="0"/>
    <w:rPr>
      <w:rFonts w:ascii="宋体" w:hAnsi="宋体" w:cs="宋体"/>
      <w:color w:val="000000"/>
      <w:sz w:val="24"/>
      <w:szCs w:val="24"/>
      <w:lang w:val="zh-TW" w:eastAsia="zh-TW" w:bidi="zh-TW"/>
    </w:rPr>
  </w:style>
  <w:style w:type="character" w:customStyle="1" w:styleId="29">
    <w:name w:val="样式2 Char"/>
    <w:link w:val="17"/>
    <w:qFormat/>
    <w:locked/>
    <w:uiPriority w:val="99"/>
    <w:rPr>
      <w:rFonts w:ascii="黑体" w:eastAsia="黑体"/>
      <w:sz w:val="28"/>
    </w:rPr>
  </w:style>
  <w:style w:type="character" w:customStyle="1" w:styleId="30">
    <w:name w:val="页眉 Char"/>
    <w:link w:val="7"/>
    <w:semiHidden/>
    <w:qFormat/>
    <w:locked/>
    <w:uiPriority w:val="99"/>
    <w:rPr>
      <w:rFonts w:cs="Times New Roman"/>
      <w:sz w:val="18"/>
      <w:szCs w:val="18"/>
    </w:rPr>
  </w:style>
  <w:style w:type="character" w:customStyle="1" w:styleId="31">
    <w:name w:val="标题 Char"/>
    <w:link w:val="10"/>
    <w:qFormat/>
    <w:locked/>
    <w:uiPriority w:val="99"/>
    <w:rPr>
      <w:rFonts w:ascii="Arial" w:hAnsi="Arial" w:eastAsia="宋体" w:cs="Arial"/>
      <w:b/>
      <w:bCs/>
      <w:sz w:val="32"/>
      <w:szCs w:val="32"/>
    </w:rPr>
  </w:style>
  <w:style w:type="character" w:customStyle="1" w:styleId="32">
    <w:name w:val="Body text|7_"/>
    <w:link w:val="18"/>
    <w:uiPriority w:val="0"/>
    <w:rPr>
      <w:b/>
      <w:bCs/>
      <w:sz w:val="19"/>
      <w:szCs w:val="19"/>
    </w:rPr>
  </w:style>
  <w:style w:type="character" w:customStyle="1" w:styleId="33">
    <w:name w:val="正文文本 2 Char"/>
    <w:link w:val="8"/>
    <w:semiHidden/>
    <w:qFormat/>
    <w:locked/>
    <w:uiPriority w:val="99"/>
    <w:rPr>
      <w:rFonts w:ascii="Times New Roman" w:hAnsi="Times New Roman" w:eastAsia="宋体" w:cs="Times New Roman"/>
      <w:sz w:val="20"/>
      <w:szCs w:val="20"/>
    </w:rPr>
  </w:style>
  <w:style w:type="character" w:customStyle="1" w:styleId="34">
    <w:name w:val="Body text|1_"/>
    <w:link w:val="19"/>
    <w:uiPriority w:val="0"/>
    <w:rPr>
      <w:rFonts w:ascii="宋体" w:hAnsi="宋体" w:eastAsia="宋体" w:cs="宋体"/>
      <w:lang w:val="zh-TW" w:eastAsia="zh-TW" w:bidi="zh-TW"/>
    </w:rPr>
  </w:style>
  <w:style w:type="character" w:customStyle="1" w:styleId="35">
    <w:name w:val="页脚 Char"/>
    <w:link w:val="6"/>
    <w:qFormat/>
    <w:locked/>
    <w:uiPriority w:val="99"/>
    <w:rPr>
      <w:rFonts w:cs="Times New Roman"/>
      <w:sz w:val="18"/>
      <w:szCs w:val="18"/>
    </w:rPr>
  </w:style>
  <w:style w:type="character" w:customStyle="1" w:styleId="36">
    <w:name w:val="Body text|2_"/>
    <w:link w:val="20"/>
    <w:uiPriority w:val="0"/>
    <w:rPr>
      <w:b/>
      <w:bCs/>
      <w:lang w:val="zh-TW" w:eastAsia="zh-TW" w:bidi="zh-TW"/>
    </w:rPr>
  </w:style>
  <w:style w:type="character" w:customStyle="1" w:styleId="37">
    <w:name w:val="样式1 Char"/>
    <w:link w:val="21"/>
    <w:qFormat/>
    <w:locked/>
    <w:uiPriority w:val="99"/>
    <w:rPr>
      <w:rFonts w:ascii="宋体" w:eastAsia="宋体" w:cs="Times New Roman"/>
      <w:bCs/>
      <w:sz w:val="24"/>
      <w:szCs w:val="24"/>
    </w:rPr>
  </w:style>
  <w:style w:type="character" w:customStyle="1" w:styleId="38">
    <w:name w:val="纯文本 Char"/>
    <w:link w:val="3"/>
    <w:qFormat/>
    <w:locked/>
    <w:uiPriority w:val="99"/>
    <w:rPr>
      <w:rFonts w:ascii="宋体" w:hAnsi="Courier New" w:eastAsia="宋体" w:cs="Times New Roman"/>
      <w:kern w:val="0"/>
      <w:sz w:val="20"/>
      <w:szCs w:val="20"/>
    </w:rPr>
  </w:style>
  <w:style w:type="character" w:customStyle="1" w:styleId="39">
    <w:name w:val="批注文字 Char"/>
    <w:link w:val="2"/>
    <w:qFormat/>
    <w:locked/>
    <w:uiPriority w:val="99"/>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4545</Words>
  <Characters>5083</Characters>
  <Lines>37</Lines>
  <Paragraphs>10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2022-12-22T12:41:00Z</dcterms:created>
  <dc:creator>user</dc:creator>
  <cp:lastModifiedBy>杨振欣</cp:lastModifiedBy>
  <cp:lastPrinted>2023-05-09T01:06:00Z</cp:lastPrinted>
  <dcterms:modified xsi:type="dcterms:W3CDTF">2023-05-09T01:42:35Z</dcterms:modified>
  <dc:title>机动工业车辆定期（首次）检验记录首页</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5A0F0E2981A4405EAE8F92BA07E45222_13</vt:lpwstr>
  </property>
</Properties>
</file>